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2638A6" w14:textId="77777777" w:rsidR="00004C87" w:rsidRPr="00950F12" w:rsidRDefault="00004C87" w:rsidP="00B82D0D">
      <w:pPr>
        <w:spacing w:after="200" w:line="276" w:lineRule="auto"/>
        <w:jc w:val="center"/>
        <w:rPr>
          <w:b/>
          <w:sz w:val="32"/>
          <w:szCs w:val="32"/>
        </w:rPr>
      </w:pPr>
      <w:bookmarkStart w:id="0" w:name="_Toc404864544"/>
    </w:p>
    <w:p w14:paraId="715809E6" w14:textId="77777777" w:rsidR="00A56D2D" w:rsidRPr="00A131AE" w:rsidRDefault="00902A0B" w:rsidP="00B82D0D">
      <w:pPr>
        <w:spacing w:after="200" w:line="276" w:lineRule="auto"/>
        <w:jc w:val="center"/>
        <w:rPr>
          <w:b/>
          <w:sz w:val="32"/>
          <w:szCs w:val="32"/>
          <w:lang w:val="en-US"/>
        </w:rPr>
      </w:pPr>
      <w:r w:rsidRPr="00A131AE">
        <w:rPr>
          <w:noProof/>
        </w:rPr>
        <w:drawing>
          <wp:inline distT="0" distB="0" distL="0" distR="0" wp14:anchorId="043D1EC5" wp14:editId="37D20D5C">
            <wp:extent cx="5105400" cy="1181100"/>
            <wp:effectExtent l="0" t="0" r="0" b="0"/>
            <wp:docPr id="2" name="Εικόνα 3" descr="http://www.eldrug.gr/templates/theme213/images/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http://www.eldrug.gr/templates/theme213/images/logo.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05400" cy="1181100"/>
                    </a:xfrm>
                    <a:prstGeom prst="rect">
                      <a:avLst/>
                    </a:prstGeom>
                    <a:noFill/>
                    <a:ln>
                      <a:noFill/>
                    </a:ln>
                  </pic:spPr>
                </pic:pic>
              </a:graphicData>
            </a:graphic>
          </wp:inline>
        </w:drawing>
      </w:r>
    </w:p>
    <w:p w14:paraId="5980B556" w14:textId="77777777" w:rsidR="00A56D2D" w:rsidRPr="00A131AE" w:rsidRDefault="00A56D2D" w:rsidP="00B82D0D">
      <w:pPr>
        <w:spacing w:after="200" w:line="276" w:lineRule="auto"/>
        <w:jc w:val="center"/>
        <w:rPr>
          <w:b/>
          <w:sz w:val="32"/>
          <w:szCs w:val="32"/>
          <w:lang w:val="en-US"/>
        </w:rPr>
      </w:pPr>
    </w:p>
    <w:p w14:paraId="39B99CF4" w14:textId="77777777" w:rsidR="002F642D" w:rsidRPr="00A131AE" w:rsidRDefault="00974788" w:rsidP="00B82D0D">
      <w:pPr>
        <w:spacing w:after="200" w:line="276" w:lineRule="auto"/>
        <w:jc w:val="center"/>
        <w:rPr>
          <w:b/>
          <w:sz w:val="32"/>
          <w:szCs w:val="32"/>
        </w:rPr>
      </w:pPr>
      <w:r w:rsidRPr="00A131AE">
        <w:rPr>
          <w:b/>
          <w:sz w:val="32"/>
          <w:szCs w:val="32"/>
        </w:rPr>
        <w:t>ΕΛΛΗΝΙΚΑ ΦΑΡΜΑΚΑ - ΕΡΕΥΝΑ ΚΑΙ ΑΝΑΠΤΥΞΗ - ΑΝΩNΥΜΗ ΕΤΑΙΡΕΙΑ</w:t>
      </w:r>
      <w:r w:rsidR="002F642D" w:rsidRPr="00A131AE">
        <w:rPr>
          <w:b/>
          <w:sz w:val="32"/>
          <w:szCs w:val="32"/>
        </w:rPr>
        <w:t xml:space="preserve"> </w:t>
      </w:r>
    </w:p>
    <w:p w14:paraId="20C70805" w14:textId="77777777" w:rsidR="002F642D" w:rsidRPr="00A131AE" w:rsidRDefault="00974788" w:rsidP="00B82D0D">
      <w:pPr>
        <w:spacing w:after="200" w:line="276" w:lineRule="auto"/>
        <w:jc w:val="center"/>
        <w:rPr>
          <w:b/>
          <w:bCs/>
          <w:sz w:val="32"/>
          <w:szCs w:val="32"/>
        </w:rPr>
      </w:pPr>
      <w:r w:rsidRPr="00A131AE">
        <w:rPr>
          <w:b/>
          <w:bCs/>
          <w:sz w:val="32"/>
          <w:szCs w:val="32"/>
        </w:rPr>
        <w:t>(Διακριτικός τίτλος ELDRUG Α.Ε.)</w:t>
      </w:r>
    </w:p>
    <w:p w14:paraId="0E8B7752" w14:textId="77777777" w:rsidR="00F155F4" w:rsidRPr="00A131AE" w:rsidRDefault="00F155F4" w:rsidP="00B82D0D">
      <w:pPr>
        <w:spacing w:after="200" w:line="276" w:lineRule="auto"/>
        <w:jc w:val="center"/>
        <w:rPr>
          <w:b/>
          <w:bCs/>
          <w:sz w:val="32"/>
          <w:szCs w:val="32"/>
        </w:rPr>
      </w:pPr>
    </w:p>
    <w:p w14:paraId="33270C3F" w14:textId="77777777" w:rsidR="00C0683F" w:rsidRPr="00A131AE" w:rsidRDefault="00C0683F" w:rsidP="00C0683F">
      <w:pPr>
        <w:spacing w:after="200" w:line="276" w:lineRule="auto"/>
        <w:jc w:val="center"/>
        <w:rPr>
          <w:bCs/>
          <w:sz w:val="32"/>
          <w:szCs w:val="32"/>
        </w:rPr>
      </w:pPr>
      <w:r>
        <w:rPr>
          <w:bCs/>
          <w:sz w:val="32"/>
          <w:szCs w:val="32"/>
        </w:rPr>
        <w:t>Αρχιεπισκόπου Ιεροθέου 15 &amp; Ταξιαρχών</w:t>
      </w:r>
      <w:r w:rsidRPr="00A131AE">
        <w:rPr>
          <w:bCs/>
          <w:sz w:val="32"/>
          <w:szCs w:val="32"/>
        </w:rPr>
        <w:t xml:space="preserve">, </w:t>
      </w:r>
      <w:r>
        <w:rPr>
          <w:bCs/>
          <w:sz w:val="32"/>
          <w:szCs w:val="32"/>
        </w:rPr>
        <w:t>Πά</w:t>
      </w:r>
      <w:r w:rsidRPr="00A131AE">
        <w:rPr>
          <w:bCs/>
          <w:sz w:val="32"/>
          <w:szCs w:val="32"/>
        </w:rPr>
        <w:t>τρ</w:t>
      </w:r>
      <w:r>
        <w:rPr>
          <w:bCs/>
          <w:sz w:val="32"/>
          <w:szCs w:val="32"/>
        </w:rPr>
        <w:t>α</w:t>
      </w:r>
      <w:r w:rsidRPr="00A131AE">
        <w:rPr>
          <w:bCs/>
          <w:sz w:val="32"/>
          <w:szCs w:val="32"/>
        </w:rPr>
        <w:t>, Τ.Κ. 26</w:t>
      </w:r>
      <w:r>
        <w:rPr>
          <w:bCs/>
          <w:sz w:val="32"/>
          <w:szCs w:val="32"/>
        </w:rPr>
        <w:t>222</w:t>
      </w:r>
    </w:p>
    <w:p w14:paraId="52794CDE" w14:textId="77777777" w:rsidR="00F155F4" w:rsidRPr="00A131AE" w:rsidRDefault="00F155F4" w:rsidP="00B82D0D">
      <w:pPr>
        <w:spacing w:after="200" w:line="276" w:lineRule="auto"/>
        <w:jc w:val="center"/>
      </w:pPr>
    </w:p>
    <w:p w14:paraId="1286C7E7" w14:textId="77777777" w:rsidR="002F642D" w:rsidRPr="00A131AE" w:rsidRDefault="002F642D" w:rsidP="00B82D0D">
      <w:pPr>
        <w:spacing w:after="200" w:line="276" w:lineRule="auto"/>
        <w:jc w:val="center"/>
        <w:rPr>
          <w:bCs/>
          <w:sz w:val="32"/>
          <w:szCs w:val="32"/>
        </w:rPr>
      </w:pPr>
      <w:r w:rsidRPr="00A131AE">
        <w:rPr>
          <w:bCs/>
          <w:sz w:val="32"/>
          <w:szCs w:val="32"/>
        </w:rPr>
        <w:t>Αρ.Μ.Α.Ε.</w:t>
      </w:r>
      <w:r w:rsidR="00EA458D" w:rsidRPr="00A131AE">
        <w:rPr>
          <w:bCs/>
          <w:sz w:val="32"/>
          <w:szCs w:val="32"/>
        </w:rPr>
        <w:t xml:space="preserve"> 61240/22/Β/06/34</w:t>
      </w:r>
    </w:p>
    <w:p w14:paraId="57AFA7EE" w14:textId="77777777" w:rsidR="002F642D" w:rsidRPr="00A131AE" w:rsidRDefault="002F642D" w:rsidP="00B82D0D">
      <w:pPr>
        <w:spacing w:after="200" w:line="276" w:lineRule="auto"/>
        <w:jc w:val="center"/>
        <w:rPr>
          <w:color w:val="000000"/>
          <w:sz w:val="32"/>
          <w:szCs w:val="32"/>
        </w:rPr>
      </w:pPr>
      <w:r w:rsidRPr="00A131AE">
        <w:rPr>
          <w:color w:val="000000"/>
          <w:sz w:val="32"/>
          <w:szCs w:val="32"/>
        </w:rPr>
        <w:t xml:space="preserve">ΑΡΙΘΜΟΣ Γ.Ε.ΜΗ. </w:t>
      </w:r>
      <w:r w:rsidR="007323BC" w:rsidRPr="00A131AE">
        <w:rPr>
          <w:color w:val="000000"/>
          <w:sz w:val="32"/>
          <w:szCs w:val="32"/>
        </w:rPr>
        <w:t>0</w:t>
      </w:r>
      <w:r w:rsidR="00EA458D" w:rsidRPr="00A131AE">
        <w:rPr>
          <w:color w:val="000000"/>
          <w:sz w:val="32"/>
          <w:szCs w:val="32"/>
        </w:rPr>
        <w:t>35522716000</w:t>
      </w:r>
    </w:p>
    <w:p w14:paraId="08CA4C73" w14:textId="77777777" w:rsidR="002F642D" w:rsidRPr="00A131AE" w:rsidRDefault="002F642D" w:rsidP="00B82D0D">
      <w:pPr>
        <w:spacing w:after="200" w:line="276" w:lineRule="auto"/>
        <w:jc w:val="center"/>
        <w:rPr>
          <w:b/>
          <w:color w:val="000000"/>
          <w:sz w:val="22"/>
          <w:szCs w:val="22"/>
        </w:rPr>
      </w:pPr>
    </w:p>
    <w:p w14:paraId="53E39C56" w14:textId="77777777" w:rsidR="002F642D" w:rsidRPr="00A131AE" w:rsidRDefault="002F642D" w:rsidP="00B82D0D">
      <w:pPr>
        <w:spacing w:after="200" w:line="276" w:lineRule="auto"/>
        <w:jc w:val="center"/>
        <w:rPr>
          <w:b/>
          <w:color w:val="000000"/>
          <w:sz w:val="22"/>
          <w:szCs w:val="22"/>
        </w:rPr>
      </w:pPr>
    </w:p>
    <w:p w14:paraId="5DF170CC" w14:textId="77777777" w:rsidR="002F642D" w:rsidRPr="00A131AE" w:rsidRDefault="002F642D" w:rsidP="00B82D0D">
      <w:pPr>
        <w:spacing w:after="200" w:line="276" w:lineRule="auto"/>
        <w:jc w:val="center"/>
        <w:rPr>
          <w:b/>
          <w:color w:val="000000"/>
          <w:sz w:val="22"/>
          <w:szCs w:val="22"/>
        </w:rPr>
      </w:pPr>
    </w:p>
    <w:p w14:paraId="12812EFC" w14:textId="77777777" w:rsidR="000C5897" w:rsidRPr="00A131AE" w:rsidRDefault="000C5897" w:rsidP="000C5897">
      <w:pPr>
        <w:spacing w:after="200" w:line="276" w:lineRule="auto"/>
        <w:jc w:val="center"/>
        <w:rPr>
          <w:b/>
          <w:sz w:val="32"/>
          <w:szCs w:val="32"/>
        </w:rPr>
      </w:pPr>
      <w:r w:rsidRPr="00A131AE">
        <w:rPr>
          <w:b/>
          <w:sz w:val="32"/>
          <w:szCs w:val="32"/>
        </w:rPr>
        <w:t>ΧΡΗΜΑΤΟΟΙΚΟΝΟΜΙΚΕΣ ΚΑΤΑΣΤΑΣΕΙΣ</w:t>
      </w:r>
    </w:p>
    <w:p w14:paraId="00F42A1B" w14:textId="77777777" w:rsidR="000C5897" w:rsidRPr="00A131AE" w:rsidRDefault="000C5897" w:rsidP="000C5897">
      <w:pPr>
        <w:spacing w:after="200" w:line="276" w:lineRule="auto"/>
        <w:jc w:val="center"/>
        <w:rPr>
          <w:b/>
          <w:sz w:val="32"/>
          <w:szCs w:val="32"/>
        </w:rPr>
      </w:pPr>
      <w:r w:rsidRPr="00A131AE">
        <w:rPr>
          <w:b/>
          <w:sz w:val="32"/>
          <w:szCs w:val="32"/>
        </w:rPr>
        <w:t>χρήσεως</w:t>
      </w:r>
    </w:p>
    <w:p w14:paraId="31FFF5E5" w14:textId="77777777" w:rsidR="000C5897" w:rsidRPr="00BE2324" w:rsidRDefault="000C5897" w:rsidP="000C5897">
      <w:pPr>
        <w:spacing w:after="200" w:line="276" w:lineRule="auto"/>
        <w:jc w:val="center"/>
        <w:rPr>
          <w:b/>
          <w:sz w:val="32"/>
          <w:szCs w:val="32"/>
        </w:rPr>
      </w:pPr>
      <w:r w:rsidRPr="00A131AE">
        <w:rPr>
          <w:b/>
          <w:sz w:val="32"/>
          <w:szCs w:val="32"/>
        </w:rPr>
        <w:t xml:space="preserve">1 Ιανουαρίου </w:t>
      </w:r>
      <w:r w:rsidR="00730C1F">
        <w:rPr>
          <w:b/>
          <w:sz w:val="32"/>
          <w:szCs w:val="32"/>
        </w:rPr>
        <w:t>έως 31 Δεκεμβρίου 20</w:t>
      </w:r>
      <w:r w:rsidR="00730C1F" w:rsidRPr="00BE2324">
        <w:rPr>
          <w:b/>
          <w:sz w:val="32"/>
          <w:szCs w:val="32"/>
        </w:rPr>
        <w:t>20</w:t>
      </w:r>
    </w:p>
    <w:p w14:paraId="438932DA" w14:textId="77777777" w:rsidR="000C5897" w:rsidRPr="00A131AE" w:rsidRDefault="000C5897" w:rsidP="000C5897">
      <w:pPr>
        <w:spacing w:after="200" w:line="276" w:lineRule="auto"/>
        <w:jc w:val="center"/>
        <w:rPr>
          <w:b/>
          <w:sz w:val="32"/>
          <w:szCs w:val="32"/>
        </w:rPr>
      </w:pPr>
      <w:r w:rsidRPr="00A131AE">
        <w:rPr>
          <w:b/>
          <w:sz w:val="32"/>
          <w:szCs w:val="32"/>
        </w:rPr>
        <w:t>σύμφωνα με το Ν.4308/2014</w:t>
      </w:r>
    </w:p>
    <w:p w14:paraId="0170A051" w14:textId="77777777" w:rsidR="000C5897" w:rsidRPr="00A131AE" w:rsidRDefault="000C5897" w:rsidP="000C5897">
      <w:pPr>
        <w:spacing w:after="200" w:line="276" w:lineRule="auto"/>
        <w:jc w:val="center"/>
        <w:rPr>
          <w:b/>
          <w:sz w:val="32"/>
          <w:szCs w:val="32"/>
        </w:rPr>
      </w:pPr>
      <w:r w:rsidRPr="00A131AE">
        <w:rPr>
          <w:b/>
          <w:sz w:val="32"/>
          <w:szCs w:val="32"/>
        </w:rPr>
        <w:t>(ΕΛΛΗΝΙΚΑ ΛΟΓΙΣΤΙΚΑ ΠΡΟΤΥΠΑ)</w:t>
      </w:r>
    </w:p>
    <w:p w14:paraId="58C2E764" w14:textId="77777777" w:rsidR="002F642D" w:rsidRPr="00A131AE" w:rsidRDefault="002F642D" w:rsidP="00B82D0D">
      <w:pPr>
        <w:spacing w:after="200" w:line="276" w:lineRule="auto"/>
        <w:jc w:val="center"/>
        <w:rPr>
          <w:b/>
          <w:color w:val="000000"/>
          <w:sz w:val="22"/>
          <w:szCs w:val="22"/>
          <w:highlight w:val="yellow"/>
        </w:rPr>
      </w:pPr>
    </w:p>
    <w:p w14:paraId="4833C85C" w14:textId="77777777" w:rsidR="009F6C7A" w:rsidRPr="00A131AE" w:rsidRDefault="00525929" w:rsidP="00AA777E">
      <w:pPr>
        <w:jc w:val="center"/>
        <w:rPr>
          <w:b/>
          <w:spacing w:val="20"/>
          <w:sz w:val="40"/>
          <w:szCs w:val="40"/>
          <w:highlight w:val="yellow"/>
        </w:rPr>
      </w:pPr>
      <w:r w:rsidRPr="00A131AE">
        <w:rPr>
          <w:b/>
          <w:spacing w:val="20"/>
          <w:sz w:val="40"/>
          <w:szCs w:val="40"/>
          <w:highlight w:val="yellow"/>
        </w:rPr>
        <w:br w:type="page"/>
      </w:r>
      <w:bookmarkStart w:id="1" w:name="_Toc446004040"/>
      <w:bookmarkStart w:id="2" w:name="_Toc446405461"/>
    </w:p>
    <w:p w14:paraId="059A5F58" w14:textId="77777777" w:rsidR="00AA777E" w:rsidRPr="00A131AE" w:rsidRDefault="00AA777E" w:rsidP="00AA777E">
      <w:pPr>
        <w:jc w:val="center"/>
        <w:rPr>
          <w:b/>
          <w:spacing w:val="20"/>
          <w:sz w:val="40"/>
          <w:szCs w:val="40"/>
          <w:highlight w:val="yellow"/>
        </w:rPr>
      </w:pPr>
    </w:p>
    <w:p w14:paraId="0E48785B" w14:textId="77777777" w:rsidR="00AA777E" w:rsidRPr="00A131AE" w:rsidRDefault="00AA777E" w:rsidP="00AA777E">
      <w:pPr>
        <w:jc w:val="center"/>
        <w:rPr>
          <w:highlight w:val="yellow"/>
          <w:lang w:eastAsia="en-US"/>
        </w:rPr>
      </w:pPr>
    </w:p>
    <w:p w14:paraId="0D3DF62E" w14:textId="77777777" w:rsidR="009F6C7A" w:rsidRPr="00A131AE" w:rsidRDefault="009F6C7A" w:rsidP="009F6C7A">
      <w:pPr>
        <w:rPr>
          <w:highlight w:val="yellow"/>
          <w:lang w:eastAsia="en-US"/>
        </w:rPr>
      </w:pPr>
    </w:p>
    <w:p w14:paraId="1D1A0241" w14:textId="77777777" w:rsidR="009F6C7A" w:rsidRPr="00A131AE" w:rsidRDefault="009F6C7A" w:rsidP="009F6C7A">
      <w:pPr>
        <w:rPr>
          <w:lang w:eastAsia="en-US"/>
        </w:rPr>
      </w:pPr>
    </w:p>
    <w:p w14:paraId="09D52C4B" w14:textId="77777777" w:rsidR="009F6C7A" w:rsidRPr="00A131AE" w:rsidRDefault="009F6C7A" w:rsidP="009F6C7A">
      <w:pPr>
        <w:spacing w:after="200" w:line="276" w:lineRule="auto"/>
        <w:jc w:val="center"/>
        <w:rPr>
          <w:b/>
          <w:sz w:val="32"/>
          <w:szCs w:val="32"/>
        </w:rPr>
      </w:pPr>
      <w:r w:rsidRPr="00A131AE">
        <w:rPr>
          <w:b/>
          <w:sz w:val="32"/>
          <w:szCs w:val="32"/>
        </w:rPr>
        <w:t xml:space="preserve">ΕΛΛΗΝΙΚΑ ΦΑΡΜΑΚΑ - ΕΡΕΥΝΑ ΚΑΙ ΑΝΑΠΤΥΞΗ - ΑΝΩNΥΜΗ ΕΤΑΙΡΕΙΑ </w:t>
      </w:r>
    </w:p>
    <w:p w14:paraId="5210E0F5" w14:textId="77777777" w:rsidR="009F6C7A" w:rsidRPr="00A131AE" w:rsidRDefault="009F6C7A" w:rsidP="009F6C7A">
      <w:pPr>
        <w:spacing w:after="200" w:line="276" w:lineRule="auto"/>
        <w:jc w:val="center"/>
        <w:rPr>
          <w:b/>
          <w:bCs/>
          <w:sz w:val="32"/>
          <w:szCs w:val="32"/>
        </w:rPr>
      </w:pPr>
      <w:r w:rsidRPr="00A131AE">
        <w:rPr>
          <w:b/>
          <w:bCs/>
          <w:sz w:val="32"/>
          <w:szCs w:val="32"/>
        </w:rPr>
        <w:t>(Διακριτικός τίτλος ELDRUG Α.Ε.)</w:t>
      </w:r>
    </w:p>
    <w:p w14:paraId="6C92FB2E" w14:textId="77777777" w:rsidR="009F6C7A" w:rsidRPr="00A131AE" w:rsidRDefault="009F6C7A" w:rsidP="009F6C7A">
      <w:pPr>
        <w:rPr>
          <w:lang w:eastAsia="en-US"/>
        </w:rPr>
      </w:pPr>
    </w:p>
    <w:p w14:paraId="5DBB0E4B" w14:textId="77777777" w:rsidR="001B0439" w:rsidRPr="00A131AE" w:rsidRDefault="001B0439" w:rsidP="001B0439">
      <w:pPr>
        <w:rPr>
          <w:lang w:eastAsia="en-US"/>
        </w:rPr>
      </w:pPr>
    </w:p>
    <w:p w14:paraId="6C203360" w14:textId="77777777" w:rsidR="001B0439" w:rsidRPr="00A131AE" w:rsidRDefault="001B0439" w:rsidP="001B0439">
      <w:pPr>
        <w:rPr>
          <w:lang w:eastAsia="en-US"/>
        </w:rPr>
      </w:pPr>
    </w:p>
    <w:p w14:paraId="2A5FEBCD" w14:textId="77777777" w:rsidR="001B0439" w:rsidRPr="00A131AE" w:rsidRDefault="001B0439" w:rsidP="001B0439">
      <w:pPr>
        <w:rPr>
          <w:lang w:eastAsia="en-US"/>
        </w:rPr>
      </w:pPr>
    </w:p>
    <w:p w14:paraId="3CE5F01D" w14:textId="77777777" w:rsidR="001B0439" w:rsidRPr="00A131AE" w:rsidRDefault="001B0439" w:rsidP="001B0439">
      <w:pPr>
        <w:rPr>
          <w:lang w:eastAsia="en-US"/>
        </w:rPr>
      </w:pPr>
    </w:p>
    <w:p w14:paraId="5C395DCD" w14:textId="77777777" w:rsidR="001B0439" w:rsidRPr="00A131AE" w:rsidRDefault="001B0439" w:rsidP="001B0439">
      <w:pPr>
        <w:rPr>
          <w:lang w:eastAsia="en-US"/>
        </w:rPr>
      </w:pPr>
    </w:p>
    <w:p w14:paraId="1FD07670" w14:textId="77777777" w:rsidR="001B0439" w:rsidRPr="00A131AE" w:rsidRDefault="001B0439" w:rsidP="001B0439">
      <w:pPr>
        <w:spacing w:after="200" w:line="276" w:lineRule="auto"/>
        <w:jc w:val="center"/>
        <w:rPr>
          <w:b/>
          <w:sz w:val="32"/>
          <w:szCs w:val="32"/>
        </w:rPr>
      </w:pPr>
      <w:r w:rsidRPr="00A131AE">
        <w:rPr>
          <w:b/>
          <w:sz w:val="32"/>
          <w:szCs w:val="32"/>
        </w:rPr>
        <w:t>ΧΡΗΜΑΤΟΟΙΚΟΝΟΜΙΚΕΣ ΚΑΤΑΣΤΑΣΕΙΣ</w:t>
      </w:r>
    </w:p>
    <w:p w14:paraId="1B5C6EEC" w14:textId="77777777" w:rsidR="001B0439" w:rsidRPr="00A131AE" w:rsidRDefault="001B0439" w:rsidP="001B0439">
      <w:pPr>
        <w:spacing w:after="200" w:line="276" w:lineRule="auto"/>
        <w:jc w:val="center"/>
        <w:rPr>
          <w:b/>
          <w:sz w:val="32"/>
          <w:szCs w:val="32"/>
        </w:rPr>
      </w:pPr>
      <w:r w:rsidRPr="00A131AE">
        <w:rPr>
          <w:b/>
          <w:sz w:val="32"/>
          <w:szCs w:val="32"/>
        </w:rPr>
        <w:t>χρήσεως</w:t>
      </w:r>
    </w:p>
    <w:p w14:paraId="44180B1B" w14:textId="77777777" w:rsidR="001B0439" w:rsidRPr="00FC0F5F" w:rsidRDefault="001B0439" w:rsidP="001B0439">
      <w:pPr>
        <w:spacing w:after="200" w:line="276" w:lineRule="auto"/>
        <w:jc w:val="center"/>
        <w:rPr>
          <w:b/>
          <w:sz w:val="32"/>
          <w:szCs w:val="32"/>
        </w:rPr>
      </w:pPr>
      <w:r w:rsidRPr="00A131AE">
        <w:rPr>
          <w:b/>
          <w:sz w:val="32"/>
          <w:szCs w:val="32"/>
        </w:rPr>
        <w:t>1 Ι</w:t>
      </w:r>
      <w:r w:rsidR="00730C1F">
        <w:rPr>
          <w:b/>
          <w:sz w:val="32"/>
          <w:szCs w:val="32"/>
        </w:rPr>
        <w:t>ανουαρίου έως 31 Δεκεμβρίου 2020</w:t>
      </w:r>
    </w:p>
    <w:p w14:paraId="696EED90" w14:textId="77777777" w:rsidR="001B0439" w:rsidRPr="00A131AE" w:rsidRDefault="001B0439" w:rsidP="001B0439">
      <w:pPr>
        <w:spacing w:after="200" w:line="276" w:lineRule="auto"/>
        <w:jc w:val="center"/>
        <w:rPr>
          <w:b/>
          <w:sz w:val="32"/>
          <w:szCs w:val="32"/>
        </w:rPr>
      </w:pPr>
      <w:r w:rsidRPr="00A131AE">
        <w:rPr>
          <w:b/>
          <w:sz w:val="32"/>
          <w:szCs w:val="32"/>
        </w:rPr>
        <w:t>σύμφωνα με το Ν.4308/2014</w:t>
      </w:r>
    </w:p>
    <w:p w14:paraId="5F9C9696" w14:textId="77777777" w:rsidR="001B0439" w:rsidRPr="00A131AE" w:rsidRDefault="001B0439" w:rsidP="001B0439">
      <w:pPr>
        <w:spacing w:after="200" w:line="276" w:lineRule="auto"/>
        <w:jc w:val="center"/>
        <w:rPr>
          <w:b/>
          <w:sz w:val="32"/>
          <w:szCs w:val="32"/>
        </w:rPr>
      </w:pPr>
      <w:r w:rsidRPr="00A131AE">
        <w:rPr>
          <w:b/>
          <w:sz w:val="32"/>
          <w:szCs w:val="32"/>
        </w:rPr>
        <w:t>(ΕΛΛΗΝΙΚΑ ΛΟΓΙΣΤΙΚΑ ΠΡΟΤΥΠΑ)</w:t>
      </w:r>
    </w:p>
    <w:p w14:paraId="1549DA34" w14:textId="77777777" w:rsidR="001B0439" w:rsidRPr="00A131AE" w:rsidRDefault="001B0439" w:rsidP="001B0439">
      <w:pPr>
        <w:shd w:val="clear" w:color="auto" w:fill="FFFFFF"/>
        <w:spacing w:after="200" w:line="276" w:lineRule="auto"/>
        <w:ind w:left="5" w:right="14" w:firstLine="562"/>
        <w:jc w:val="both"/>
        <w:rPr>
          <w:sz w:val="22"/>
          <w:szCs w:val="22"/>
          <w:highlight w:val="yellow"/>
        </w:rPr>
      </w:pPr>
    </w:p>
    <w:p w14:paraId="4D44AAF9" w14:textId="77777777" w:rsidR="001B0439" w:rsidRPr="00A131AE" w:rsidRDefault="001B0439" w:rsidP="001B0439">
      <w:pPr>
        <w:shd w:val="clear" w:color="auto" w:fill="FFFFFF"/>
        <w:spacing w:after="200" w:line="276" w:lineRule="auto"/>
        <w:ind w:left="5" w:right="14" w:firstLine="562"/>
        <w:jc w:val="both"/>
        <w:rPr>
          <w:sz w:val="22"/>
          <w:szCs w:val="22"/>
          <w:highlight w:val="yellow"/>
        </w:rPr>
      </w:pPr>
    </w:p>
    <w:p w14:paraId="5E5FE121" w14:textId="77777777" w:rsidR="003506D2" w:rsidRDefault="003506D2">
      <w:pPr>
        <w:rPr>
          <w:highlight w:val="yellow"/>
          <w:lang w:eastAsia="en-US"/>
        </w:rPr>
      </w:pPr>
      <w:r>
        <w:rPr>
          <w:highlight w:val="yellow"/>
          <w:lang w:eastAsia="en-US"/>
        </w:rPr>
        <w:br w:type="page"/>
      </w:r>
    </w:p>
    <w:p w14:paraId="1F4CA48E" w14:textId="77777777" w:rsidR="003506D2" w:rsidRDefault="003506D2" w:rsidP="001B0439">
      <w:pPr>
        <w:rPr>
          <w:highlight w:val="yellow"/>
          <w:lang w:eastAsia="en-US"/>
        </w:rPr>
        <w:sectPr w:rsidR="003506D2" w:rsidSect="008737B6">
          <w:footerReference w:type="even" r:id="rId9"/>
          <w:footerReference w:type="default" r:id="rId10"/>
          <w:pgSz w:w="11906" w:h="16838" w:code="9"/>
          <w:pgMar w:top="1418" w:right="1418" w:bottom="1418" w:left="1134" w:header="709" w:footer="567" w:gutter="0"/>
          <w:cols w:space="708"/>
          <w:titlePg/>
          <w:docGrid w:linePitch="360"/>
        </w:sectPr>
      </w:pPr>
    </w:p>
    <w:p w14:paraId="5A518ED6" w14:textId="77777777" w:rsidR="00AA777E" w:rsidRPr="00546F3F" w:rsidRDefault="00AA777E" w:rsidP="003506D2">
      <w:pPr>
        <w:pStyle w:val="1"/>
        <w:spacing w:line="288" w:lineRule="auto"/>
        <w:jc w:val="left"/>
        <w:rPr>
          <w:rFonts w:ascii="Arial" w:hAnsi="Arial" w:cs="Arial"/>
          <w:b w:val="0"/>
          <w:sz w:val="36"/>
          <w:szCs w:val="36"/>
        </w:rPr>
      </w:pPr>
      <w:bookmarkStart w:id="3" w:name="_Toc508356320"/>
      <w:bookmarkStart w:id="4" w:name="_Toc15545988"/>
      <w:r w:rsidRPr="00546F3F">
        <w:rPr>
          <w:rFonts w:ascii="Arial" w:hAnsi="Arial" w:cs="Arial"/>
          <w:b w:val="0"/>
          <w:sz w:val="36"/>
          <w:szCs w:val="36"/>
        </w:rPr>
        <w:lastRenderedPageBreak/>
        <w:t>Έκθεση Ανεξάρτητου Ορκωτού Ελεγκτή Λογιστή</w:t>
      </w:r>
      <w:bookmarkEnd w:id="3"/>
      <w:bookmarkEnd w:id="4"/>
    </w:p>
    <w:p w14:paraId="05E18AE0" w14:textId="77777777" w:rsidR="003506D2" w:rsidRPr="00546F3F" w:rsidRDefault="003506D2" w:rsidP="003506D2">
      <w:pPr>
        <w:spacing w:line="288" w:lineRule="auto"/>
        <w:rPr>
          <w:rFonts w:ascii="Arial" w:hAnsi="Arial" w:cs="Arial"/>
          <w:b/>
          <w:sz w:val="20"/>
          <w:szCs w:val="20"/>
        </w:rPr>
      </w:pPr>
    </w:p>
    <w:p w14:paraId="389972C4" w14:textId="77777777" w:rsidR="00AA777E" w:rsidRPr="00546F3F" w:rsidRDefault="00AA777E" w:rsidP="007C7C9D">
      <w:pPr>
        <w:spacing w:line="288" w:lineRule="auto"/>
        <w:jc w:val="both"/>
        <w:rPr>
          <w:rFonts w:ascii="Arial" w:hAnsi="Arial" w:cs="Arial"/>
          <w:sz w:val="22"/>
          <w:szCs w:val="22"/>
        </w:rPr>
      </w:pPr>
      <w:r w:rsidRPr="00546F3F">
        <w:rPr>
          <w:rFonts w:ascii="Arial" w:hAnsi="Arial" w:cs="Arial"/>
          <w:sz w:val="22"/>
          <w:szCs w:val="22"/>
        </w:rPr>
        <w:t xml:space="preserve">Προς τους Μετόχους της Ανώνυμης Εταιρείας </w:t>
      </w:r>
      <w:r w:rsidRPr="00546F3F">
        <w:rPr>
          <w:rFonts w:ascii="Arial" w:hAnsi="Arial" w:cs="Arial"/>
          <w:b/>
          <w:sz w:val="22"/>
          <w:szCs w:val="22"/>
        </w:rPr>
        <w:t>«ΕΛΛΗΝΙΚΑ ΦΑΡΜΑΚΑ - ΕΡΕΥΝΑ ΚΑΙ ΑΝΑΠΤΥΞΗ - ΑΝΩNΥΜΗ ΕΤΑΙΡΕΙΑ»</w:t>
      </w:r>
      <w:r w:rsidRPr="00546F3F">
        <w:rPr>
          <w:rFonts w:ascii="Arial" w:hAnsi="Arial" w:cs="Arial"/>
          <w:sz w:val="22"/>
          <w:szCs w:val="22"/>
        </w:rPr>
        <w:t xml:space="preserve"> με τον διακριτικό τίτλο </w:t>
      </w:r>
      <w:r w:rsidRPr="00546F3F">
        <w:rPr>
          <w:rFonts w:ascii="Arial" w:hAnsi="Arial" w:cs="Arial"/>
          <w:b/>
          <w:sz w:val="22"/>
          <w:szCs w:val="22"/>
        </w:rPr>
        <w:t>«ELDRUG Α.Ε.»</w:t>
      </w:r>
    </w:p>
    <w:p w14:paraId="71D4964D" w14:textId="77777777" w:rsidR="00AA777E" w:rsidRPr="00546F3F" w:rsidRDefault="00AA777E" w:rsidP="007C7C9D">
      <w:pPr>
        <w:spacing w:line="288" w:lineRule="auto"/>
        <w:jc w:val="both"/>
        <w:rPr>
          <w:rFonts w:ascii="Arial" w:hAnsi="Arial" w:cs="Arial"/>
          <w:sz w:val="20"/>
          <w:szCs w:val="20"/>
        </w:rPr>
      </w:pPr>
    </w:p>
    <w:p w14:paraId="039704A8" w14:textId="77777777" w:rsidR="00AA777E" w:rsidRPr="00546F3F" w:rsidRDefault="00AA777E" w:rsidP="007C7C9D">
      <w:pPr>
        <w:autoSpaceDE w:val="0"/>
        <w:autoSpaceDN w:val="0"/>
        <w:adjustRightInd w:val="0"/>
        <w:spacing w:line="288" w:lineRule="auto"/>
        <w:jc w:val="both"/>
        <w:rPr>
          <w:rFonts w:ascii="Arial" w:hAnsi="Arial" w:cs="Arial"/>
          <w:b/>
          <w:u w:val="single"/>
        </w:rPr>
      </w:pPr>
      <w:r w:rsidRPr="00546F3F">
        <w:rPr>
          <w:rFonts w:ascii="Arial" w:hAnsi="Arial" w:cs="Arial"/>
          <w:b/>
          <w:color w:val="000000"/>
          <w:u w:val="single"/>
        </w:rPr>
        <w:t>Έκθεση Ελέγχου επί των Οικονομικών Καταστάσεων</w:t>
      </w:r>
    </w:p>
    <w:p w14:paraId="539A5E19" w14:textId="77777777" w:rsidR="00546F3F" w:rsidRPr="00546F3F" w:rsidRDefault="00546F3F" w:rsidP="00546F3F">
      <w:pPr>
        <w:spacing w:line="252" w:lineRule="auto"/>
        <w:rPr>
          <w:rFonts w:ascii="Arial" w:hAnsi="Arial" w:cs="Arial"/>
          <w:b/>
          <w:bCs/>
        </w:rPr>
      </w:pPr>
      <w:r w:rsidRPr="00546F3F">
        <w:rPr>
          <w:rFonts w:ascii="Arial" w:hAnsi="Arial" w:cs="Arial"/>
          <w:b/>
          <w:bCs/>
        </w:rPr>
        <w:t xml:space="preserve">Γνώμη με επιφύλαξη </w:t>
      </w:r>
    </w:p>
    <w:p w14:paraId="6418C058" w14:textId="77777777" w:rsidR="00546F3F" w:rsidRPr="00546F3F" w:rsidRDefault="00546F3F" w:rsidP="00546F3F">
      <w:pPr>
        <w:spacing w:line="252" w:lineRule="auto"/>
        <w:rPr>
          <w:rFonts w:ascii="Arial" w:hAnsi="Arial" w:cs="Arial"/>
          <w:b/>
          <w:bCs/>
        </w:rPr>
      </w:pPr>
    </w:p>
    <w:p w14:paraId="2497D2F3" w14:textId="77777777" w:rsidR="00546F3F" w:rsidRPr="00546F3F" w:rsidRDefault="00546F3F" w:rsidP="00546F3F">
      <w:pPr>
        <w:spacing w:line="252" w:lineRule="auto"/>
        <w:jc w:val="both"/>
        <w:rPr>
          <w:rFonts w:ascii="Arial" w:hAnsi="Arial" w:cs="Arial"/>
        </w:rPr>
      </w:pPr>
      <w:r w:rsidRPr="00546F3F">
        <w:rPr>
          <w:rFonts w:ascii="Arial" w:hAnsi="Arial" w:cs="Arial"/>
        </w:rPr>
        <w:t>Έχουμε ελέγξει τις συνημμένες οικονομικές καταστάσεις της εταιρείας «ΕΛΛΗΝΙΚΑ ΦΑΡΜΑΚΑ - ΕΡΕΥΝΑ ΚΑΙ ΑΝΑΠΤΥΞΗ - ΑΝΩNΥΜΗ ΕΤΑΙΡΕΙΑ» (η Εταιρεία), οι οποίες αποτελούνται από τον ισολογισμό της 31</w:t>
      </w:r>
      <w:r w:rsidRPr="00546F3F">
        <w:rPr>
          <w:rFonts w:ascii="Arial" w:hAnsi="Arial" w:cs="Arial"/>
          <w:vertAlign w:val="superscript"/>
        </w:rPr>
        <w:t>ης</w:t>
      </w:r>
      <w:r w:rsidRPr="00546F3F">
        <w:rPr>
          <w:rFonts w:ascii="Arial" w:hAnsi="Arial" w:cs="Arial"/>
        </w:rPr>
        <w:t xml:space="preserve"> Δεκεμβρίου 2020, τις καταστάσεις αποτελεσμάτων, μεταβολών </w:t>
      </w:r>
      <w:r w:rsidRPr="00546F3F">
        <w:rPr>
          <w:rFonts w:ascii="Arial" w:hAnsi="Arial" w:cs="Arial"/>
          <w:kern w:val="1"/>
        </w:rPr>
        <w:t>καθαρής θέσης</w:t>
      </w:r>
      <w:r w:rsidRPr="00546F3F">
        <w:rPr>
          <w:rFonts w:ascii="Arial" w:hAnsi="Arial" w:cs="Arial"/>
        </w:rPr>
        <w:t xml:space="preserve"> που έληξε την ημερομηνία αυτή, </w:t>
      </w:r>
      <w:r w:rsidRPr="00546F3F">
        <w:rPr>
          <w:rFonts w:ascii="Arial" w:hAnsi="Arial" w:cs="Arial"/>
          <w:kern w:val="1"/>
        </w:rPr>
        <w:t>καθώς και το σχετικό προσάρτημα</w:t>
      </w:r>
      <w:r w:rsidRPr="00546F3F">
        <w:rPr>
          <w:rFonts w:ascii="Arial" w:hAnsi="Arial" w:cs="Arial"/>
        </w:rPr>
        <w:t>.</w:t>
      </w:r>
    </w:p>
    <w:p w14:paraId="6F848C17" w14:textId="77777777" w:rsidR="00546F3F" w:rsidRPr="00546F3F" w:rsidRDefault="00546F3F" w:rsidP="00546F3F">
      <w:pPr>
        <w:spacing w:line="252" w:lineRule="auto"/>
        <w:jc w:val="both"/>
        <w:rPr>
          <w:rFonts w:ascii="Arial" w:hAnsi="Arial" w:cs="Arial"/>
        </w:rPr>
      </w:pPr>
    </w:p>
    <w:p w14:paraId="4AFF4A10" w14:textId="77777777" w:rsidR="00546F3F" w:rsidRPr="00546F3F" w:rsidRDefault="00546F3F" w:rsidP="00546F3F">
      <w:pPr>
        <w:autoSpaceDE w:val="0"/>
        <w:autoSpaceDN w:val="0"/>
        <w:adjustRightInd w:val="0"/>
        <w:spacing w:line="252" w:lineRule="auto"/>
        <w:jc w:val="both"/>
        <w:rPr>
          <w:rFonts w:ascii="Arial" w:hAnsi="Arial" w:cs="Arial"/>
          <w:color w:val="000000"/>
        </w:rPr>
      </w:pPr>
      <w:r w:rsidRPr="00546F3F">
        <w:rPr>
          <w:rFonts w:ascii="Arial" w:hAnsi="Arial" w:cs="Arial"/>
          <w:color w:val="000000"/>
        </w:rPr>
        <w:t xml:space="preserve">Κατά τη </w:t>
      </w:r>
      <w:r w:rsidRPr="00546F3F">
        <w:rPr>
          <w:rFonts w:ascii="Arial" w:hAnsi="Arial" w:cs="Arial"/>
        </w:rPr>
        <w:t>γνώμη μας, εκτός από τις επιπτώσεις του θέματος</w:t>
      </w:r>
      <w:r w:rsidRPr="00546F3F">
        <w:rPr>
          <w:rFonts w:ascii="Arial" w:hAnsi="Arial" w:cs="Arial"/>
          <w:color w:val="FF0000"/>
        </w:rPr>
        <w:t xml:space="preserve"> </w:t>
      </w:r>
      <w:r w:rsidRPr="00546F3F">
        <w:rPr>
          <w:rFonts w:ascii="Arial" w:hAnsi="Arial" w:cs="Arial"/>
        </w:rPr>
        <w:t xml:space="preserve">που μνημονεύεται στην παράγραφο της έκθεσής μας “Βάση για γνώμη με επιφύλαξη”, </w:t>
      </w:r>
      <w:r w:rsidRPr="00546F3F">
        <w:rPr>
          <w:rFonts w:ascii="Arial" w:hAnsi="Arial" w:cs="Arial"/>
          <w:color w:val="000000"/>
        </w:rPr>
        <w:t>οι συνημμένες οικονομικές καταστάσεις παρουσιάζουν εύλογα, από κάθε ουσιώδη άποψη, την οικονομική θέση της εταιρείας «ΕΛΛΗΝΙΚΑ ΦΑΡΜΑΚΑ - ΕΡΕΥΝΑ ΚΑΙ ΑΝΑΠΤΥΞΗ - ΑΝΩNΥΜΗ ΕΤΑΙΡΕΙΑ» κατά την 31</w:t>
      </w:r>
      <w:r w:rsidRPr="00546F3F">
        <w:rPr>
          <w:rFonts w:ascii="Arial" w:hAnsi="Arial" w:cs="Arial"/>
          <w:color w:val="000000"/>
          <w:vertAlign w:val="superscript"/>
        </w:rPr>
        <w:t>η</w:t>
      </w:r>
      <w:r w:rsidRPr="00546F3F">
        <w:rPr>
          <w:rFonts w:ascii="Arial" w:hAnsi="Arial" w:cs="Arial"/>
          <w:color w:val="000000"/>
        </w:rPr>
        <w:t xml:space="preserve"> Δεκεμβρίου 2020, τη χρηματοοικονομική της επίδοση για τη χρήση που έληξε την ημερομηνία αυτή, σύμφωνα με τις διατάξεις του Ν.4308/2014 όπως ισχύει</w:t>
      </w:r>
      <w:r w:rsidRPr="00546F3F">
        <w:rPr>
          <w:rFonts w:ascii="Arial" w:hAnsi="Arial" w:cs="Arial"/>
        </w:rPr>
        <w:t>.</w:t>
      </w:r>
      <w:r w:rsidRPr="00546F3F">
        <w:rPr>
          <w:rFonts w:ascii="Arial" w:hAnsi="Arial" w:cs="Arial"/>
          <w:color w:val="000000"/>
        </w:rPr>
        <w:t xml:space="preserve">  </w:t>
      </w:r>
    </w:p>
    <w:p w14:paraId="3EC91D75" w14:textId="77777777" w:rsidR="00546F3F" w:rsidRPr="00546F3F" w:rsidRDefault="00546F3F" w:rsidP="00546F3F">
      <w:pPr>
        <w:spacing w:line="252" w:lineRule="auto"/>
        <w:jc w:val="both"/>
        <w:rPr>
          <w:rFonts w:ascii="Arial" w:hAnsi="Arial" w:cs="Arial"/>
          <w:highlight w:val="yellow"/>
        </w:rPr>
      </w:pPr>
    </w:p>
    <w:p w14:paraId="447BDC95" w14:textId="77777777" w:rsidR="00546F3F" w:rsidRPr="00546F3F" w:rsidRDefault="00546F3F" w:rsidP="00546F3F">
      <w:pPr>
        <w:spacing w:line="252" w:lineRule="auto"/>
        <w:jc w:val="both"/>
        <w:rPr>
          <w:rFonts w:ascii="Arial" w:hAnsi="Arial" w:cs="Arial"/>
          <w:b/>
          <w:bCs/>
        </w:rPr>
      </w:pPr>
      <w:r w:rsidRPr="00546F3F">
        <w:rPr>
          <w:rFonts w:ascii="Arial" w:hAnsi="Arial" w:cs="Arial"/>
          <w:b/>
          <w:bCs/>
        </w:rPr>
        <w:t xml:space="preserve">Βάση για γνώμη με επιφύλαξη </w:t>
      </w:r>
    </w:p>
    <w:p w14:paraId="5ECA1A1E" w14:textId="77777777" w:rsidR="00546F3F" w:rsidRPr="00546F3F" w:rsidRDefault="00546F3F" w:rsidP="00546F3F">
      <w:pPr>
        <w:spacing w:line="252" w:lineRule="auto"/>
        <w:jc w:val="both"/>
        <w:rPr>
          <w:rFonts w:ascii="Arial" w:hAnsi="Arial" w:cs="Arial"/>
          <w:b/>
          <w:bCs/>
        </w:rPr>
      </w:pPr>
    </w:p>
    <w:p w14:paraId="0A58D083" w14:textId="77777777" w:rsidR="00546F3F" w:rsidRPr="00546F3F" w:rsidRDefault="00546F3F" w:rsidP="00546F3F">
      <w:pPr>
        <w:autoSpaceDE w:val="0"/>
        <w:autoSpaceDN w:val="0"/>
        <w:adjustRightInd w:val="0"/>
        <w:spacing w:line="252" w:lineRule="auto"/>
        <w:jc w:val="both"/>
        <w:rPr>
          <w:rFonts w:ascii="Arial" w:hAnsi="Arial" w:cs="Arial"/>
          <w:color w:val="FF0000"/>
        </w:rPr>
      </w:pPr>
      <w:r w:rsidRPr="00546F3F">
        <w:rPr>
          <w:rFonts w:ascii="Arial" w:hAnsi="Arial" w:cs="Arial"/>
          <w:color w:val="000000"/>
        </w:rPr>
        <w:t>Από τον έλεγχό μας προέκυψε ότι oι φορολογικές υποχρεώσεις της εταιρείας για τις χρήσεις 2015 έως και 2020 δεν έχουν εξεταστεί από τις φορολογικές αρχές. Ως εκ τούτου τα φορολογικά αποτελέσματα των χρήσεων αυτών δεν έχουν καταστεί οριστικά. Η εταιρεία δεν έχει προβεί σε εκτίμηση των πρόσθετων φόρων και των προσαυξήσεων που πιθανόν καταλογιστούν σε μελλοντικό φορολογικό έλεγχο και δεν έχει σχηματίσει σχετική πρόβλεψη για αυτή την ενδεχόμενη υποχρέωση. Από τον έλεγχό μας, δεν κατέστη εφικτό να αποκτήσουμε εύλογη διασφάλιση για την εκτίμηση του ύψους της πρόβλεψης που τυχόν απαιτείται.</w:t>
      </w:r>
    </w:p>
    <w:p w14:paraId="0C43DC61" w14:textId="77777777" w:rsidR="00546F3F" w:rsidRPr="00546F3F" w:rsidRDefault="00546F3F" w:rsidP="00546F3F">
      <w:pPr>
        <w:autoSpaceDE w:val="0"/>
        <w:autoSpaceDN w:val="0"/>
        <w:adjustRightInd w:val="0"/>
        <w:spacing w:line="252" w:lineRule="auto"/>
        <w:jc w:val="both"/>
        <w:rPr>
          <w:rFonts w:ascii="Arial" w:hAnsi="Arial" w:cs="Arial"/>
          <w:color w:val="000000"/>
          <w:spacing w:val="2"/>
        </w:rPr>
      </w:pPr>
    </w:p>
    <w:p w14:paraId="226A1DDA" w14:textId="77777777" w:rsidR="00546F3F" w:rsidRPr="00546F3F" w:rsidRDefault="00546F3F" w:rsidP="00546F3F">
      <w:pPr>
        <w:spacing w:line="252" w:lineRule="auto"/>
        <w:jc w:val="both"/>
        <w:rPr>
          <w:rFonts w:ascii="Arial" w:hAnsi="Arial" w:cs="Arial"/>
        </w:rPr>
      </w:pPr>
      <w:r w:rsidRPr="00546F3F">
        <w:rPr>
          <w:rFonts w:ascii="Arial" w:hAnsi="Arial" w:cs="Arial"/>
        </w:rPr>
        <w:t xml:space="preserve">Διενεργήσαμε τον έλεγχό μας σύμφωνα με τα Διεθνή Πρότυπα Ελέγχου (ΔΠΕ) όπως αυτά </w:t>
      </w:r>
      <w:r w:rsidRPr="00546F3F">
        <w:rPr>
          <w:rFonts w:ascii="Arial" w:hAnsi="Arial" w:cs="Arial"/>
          <w:color w:val="000000"/>
        </w:rPr>
        <w:t>έχουν ενσωματωθεί στην Ελληνική Νομοθεσία</w:t>
      </w:r>
      <w:r w:rsidRPr="00546F3F">
        <w:rPr>
          <w:rFonts w:ascii="Arial" w:hAnsi="Arial" w:cs="Arial"/>
        </w:rPr>
        <w:t>. Οι ευθύνες μας, σύμφωνα με τα πρότυπα αυτά περιγράφονται περαιτέρω στην ενότητα της έκθεσής μας “</w:t>
      </w:r>
      <w:r w:rsidRPr="00546F3F">
        <w:rPr>
          <w:rFonts w:ascii="Arial" w:hAnsi="Arial" w:cs="Arial"/>
          <w:iCs/>
        </w:rPr>
        <w:t>Ευθύνες ελεγκτή για τον έλεγχο των οικονομικών καταστάσεων</w:t>
      </w:r>
      <w:r w:rsidRPr="00546F3F">
        <w:rPr>
          <w:rFonts w:ascii="Arial" w:hAnsi="Arial" w:cs="Arial"/>
        </w:rPr>
        <w:t xml:space="preserve">”. Είμαστε ανεξάρτητοι από την </w:t>
      </w:r>
      <w:r w:rsidRPr="00546F3F">
        <w:rPr>
          <w:rFonts w:ascii="Arial" w:hAnsi="Arial" w:cs="Arial"/>
          <w:color w:val="000000"/>
        </w:rPr>
        <w:t>Εταιρεία, καθ’ όλη τη διάρκεια του διορισμού μας,</w:t>
      </w:r>
      <w:r w:rsidRPr="00546F3F">
        <w:rPr>
          <w:rFonts w:ascii="Arial" w:hAnsi="Arial" w:cs="Arial"/>
        </w:rPr>
        <w:t xml:space="preserve"> σύμφωνα με τον Κώδικα Δεοντολογίας για Επαγγελματίες Ελεγκτές του Συμβουλίου Διεθνών Προτύπων Δεοντολογίας Ελεγκτών, όπως αυτός έχει ενσωματωθεί στην Ελληνική Νομοθεσία και τις απαιτήσεις δεοντολογίας που σχετίζονται με τον έλεγχο των οικονομικών καταστάσεων στην Ελλάδα και έχουμε εκπληρώσει τις δεοντολογικές μας υποχρεώσεις σύμφωνα με τις απαιτήσεις της ισχύουσας νομοθεσίας και του προαναφερόμενου Κώδικα Δεοντολογίας. Πιστεύουμε ότι τα ελεγκτικά τεκμήρια που </w:t>
      </w:r>
      <w:r w:rsidRPr="00546F3F">
        <w:rPr>
          <w:rFonts w:ascii="Arial" w:hAnsi="Arial" w:cs="Arial"/>
        </w:rPr>
        <w:lastRenderedPageBreak/>
        <w:t>έχουμε αποκτήσει είναι επαρκή και κατάλληλα να παρέχουν βάση για γνώμη με επιφύλαξη.</w:t>
      </w:r>
    </w:p>
    <w:p w14:paraId="5C07F8E7" w14:textId="77777777" w:rsidR="00546F3F" w:rsidRPr="00546F3F" w:rsidRDefault="00546F3F" w:rsidP="00546F3F">
      <w:pPr>
        <w:jc w:val="both"/>
        <w:rPr>
          <w:rFonts w:ascii="Arial" w:hAnsi="Arial" w:cs="Arial"/>
          <w:highlight w:val="yellow"/>
        </w:rPr>
      </w:pPr>
    </w:p>
    <w:p w14:paraId="38E4A569" w14:textId="77777777" w:rsidR="00546F3F" w:rsidRPr="00546F3F" w:rsidRDefault="00546F3F" w:rsidP="00546F3F">
      <w:pPr>
        <w:autoSpaceDE w:val="0"/>
        <w:autoSpaceDN w:val="0"/>
        <w:adjustRightInd w:val="0"/>
        <w:jc w:val="both"/>
        <w:rPr>
          <w:rFonts w:ascii="Arial" w:hAnsi="Arial" w:cs="Arial"/>
          <w:b/>
          <w:color w:val="FF0000"/>
        </w:rPr>
      </w:pPr>
      <w:r w:rsidRPr="00546F3F">
        <w:rPr>
          <w:rFonts w:ascii="Arial" w:hAnsi="Arial" w:cs="Arial"/>
          <w:b/>
        </w:rPr>
        <w:t>Έμφαση Θέματος</w:t>
      </w:r>
    </w:p>
    <w:p w14:paraId="36AA91C6" w14:textId="77777777" w:rsidR="00546F3F" w:rsidRPr="00546F3F" w:rsidRDefault="00546F3F" w:rsidP="00546F3F">
      <w:pPr>
        <w:autoSpaceDE w:val="0"/>
        <w:autoSpaceDN w:val="0"/>
        <w:adjustRightInd w:val="0"/>
        <w:jc w:val="both"/>
        <w:rPr>
          <w:rFonts w:ascii="Arial" w:hAnsi="Arial" w:cs="Arial"/>
          <w:b/>
          <w:color w:val="FF0000"/>
        </w:rPr>
      </w:pPr>
    </w:p>
    <w:p w14:paraId="48A73098" w14:textId="77777777" w:rsidR="00546F3F" w:rsidRPr="00546F3F" w:rsidRDefault="00546F3F" w:rsidP="00546F3F">
      <w:pPr>
        <w:tabs>
          <w:tab w:val="left" w:pos="720"/>
          <w:tab w:val="left" w:pos="1440"/>
          <w:tab w:val="left" w:pos="2302"/>
        </w:tabs>
        <w:jc w:val="both"/>
        <w:rPr>
          <w:rFonts w:ascii="Arial" w:hAnsi="Arial" w:cs="Arial"/>
          <w:color w:val="FF0000"/>
          <w:lang w:eastAsia="en-US"/>
        </w:rPr>
      </w:pPr>
      <w:r w:rsidRPr="00546F3F">
        <w:rPr>
          <w:rFonts w:ascii="Arial" w:hAnsi="Arial" w:cs="Arial"/>
          <w:bCs/>
          <w:iCs/>
          <w:lang w:eastAsia="en-US"/>
        </w:rPr>
        <w:t xml:space="preserve">Εφιστούμε την προσοχή σας </w:t>
      </w:r>
      <w:r w:rsidRPr="00546F3F">
        <w:rPr>
          <w:rFonts w:ascii="Arial" w:hAnsi="Arial" w:cs="Arial"/>
          <w:lang w:eastAsia="en-US"/>
        </w:rPr>
        <w:t>στη σημείωση 2 επί των οικονομικών καταστάσεων, όπου αναφέρονται τα εξής θέματα: α) Λόγω των συσσωρευμένων ζημιών, το σύνολο των ιδίων κεφαλαίων της Εταιρείας έχει καταστεί αρνητικό και β) Το σύνολο της αξίας των βραχυπρόθεσμων υποχρεώσεων της Εταιρείας υπερβαίνει τη συνολική αξία των κυκλοφορούντων περιουσιακών στοιχείων, γεγονότα τα οποία ενδεχομένως να υποδηλώνουν την ύπαρξη αβεβαιότητας σχετικής με την απρόσκοπτη συνέχιση της δραστηριότητας της Εταιρείας. Όπως αναφέρεται στην ίδια σημείωση, η Διοίκηση της έχει σχεδιάσει τη λήψη κατάλληλων μέτρων για τη βελτίωση της χρηματοοικονομικής του θέσης και την ομαλή συνέχιση των δραστηριοτήτων του, προϋπόθεση η οποία έχει ληφθεί υπόψη κατά τη σύνταξη των συνημμένων οικονομικών καταστάσεων που συντάχθηκαν με δεδομένη την αρχή της συνέχισης της επιχειρηματικής δραστηριότητας της. Στη γνώμη μας δεν διατυπώνεται επιφύλαξη σε σχέση με τα θέματα αυτά.</w:t>
      </w:r>
    </w:p>
    <w:p w14:paraId="510024FD" w14:textId="77777777" w:rsidR="00546F3F" w:rsidRPr="00546F3F" w:rsidRDefault="00546F3F" w:rsidP="00546F3F">
      <w:pPr>
        <w:jc w:val="both"/>
        <w:rPr>
          <w:rFonts w:ascii="Arial" w:hAnsi="Arial" w:cs="Arial"/>
          <w:highlight w:val="yellow"/>
        </w:rPr>
      </w:pPr>
    </w:p>
    <w:p w14:paraId="0D97DBB9" w14:textId="77777777" w:rsidR="00546F3F" w:rsidRPr="00546F3F" w:rsidRDefault="00546F3F" w:rsidP="00546F3F">
      <w:pPr>
        <w:jc w:val="both"/>
        <w:rPr>
          <w:rFonts w:ascii="Arial" w:hAnsi="Arial" w:cs="Arial"/>
          <w:bCs/>
          <w:iCs/>
        </w:rPr>
      </w:pPr>
      <w:r w:rsidRPr="00546F3F">
        <w:rPr>
          <w:rFonts w:ascii="Arial" w:hAnsi="Arial" w:cs="Arial"/>
          <w:b/>
        </w:rPr>
        <w:t>Ευθύνες της διοίκησης επί των οικονομικών καταστάσεων</w:t>
      </w:r>
    </w:p>
    <w:p w14:paraId="15D50B92" w14:textId="77777777" w:rsidR="00546F3F" w:rsidRPr="00546F3F" w:rsidRDefault="00546F3F" w:rsidP="00546F3F">
      <w:pPr>
        <w:jc w:val="both"/>
        <w:rPr>
          <w:rFonts w:ascii="Arial" w:hAnsi="Arial" w:cs="Arial"/>
          <w:bCs/>
          <w:iCs/>
        </w:rPr>
      </w:pPr>
    </w:p>
    <w:p w14:paraId="29299ED5" w14:textId="77777777" w:rsidR="00546F3F" w:rsidRPr="00546F3F" w:rsidRDefault="00546F3F" w:rsidP="00546F3F">
      <w:pPr>
        <w:jc w:val="both"/>
        <w:rPr>
          <w:rFonts w:ascii="Arial" w:hAnsi="Arial" w:cs="Arial"/>
        </w:rPr>
      </w:pPr>
      <w:r w:rsidRPr="00546F3F">
        <w:rPr>
          <w:rFonts w:ascii="Arial" w:hAnsi="Arial" w:cs="Arial"/>
        </w:rPr>
        <w:t xml:space="preserve">Η διοίκηση έχει την ευθύνη για την κατάρτιση και εύλογη παρουσίαση των οικονομικών καταστάσεων </w:t>
      </w:r>
      <w:r w:rsidRPr="00546F3F">
        <w:rPr>
          <w:rFonts w:ascii="Arial" w:hAnsi="Arial" w:cs="Arial"/>
          <w:color w:val="000000"/>
        </w:rPr>
        <w:t>σύμφωνα με τις διατάξεις του Ν.4308/2014 όπως ισχύει</w:t>
      </w:r>
      <w:r w:rsidRPr="00546F3F">
        <w:rPr>
          <w:rFonts w:ascii="Arial" w:hAnsi="Arial" w:cs="Arial"/>
        </w:rPr>
        <w:t>, όπως και για εκείνες τις δικλίδες εσωτερικού ελέγχου που η διοίκηση καθορίζει ως απαραίτητες, ώστε να καθίσταται δυνατή η κατάρτιση οικονομικών καταστάσεων απαλλαγμένων από ουσιώδες σφάλμα, που οφείλεται είτε σε απάτη είτε σε λάθος.</w:t>
      </w:r>
    </w:p>
    <w:p w14:paraId="3CBF0D19" w14:textId="77777777" w:rsidR="00546F3F" w:rsidRPr="00546F3F" w:rsidRDefault="00546F3F" w:rsidP="00546F3F">
      <w:pPr>
        <w:jc w:val="both"/>
        <w:rPr>
          <w:rFonts w:ascii="Arial" w:hAnsi="Arial" w:cs="Arial"/>
        </w:rPr>
      </w:pPr>
    </w:p>
    <w:p w14:paraId="08664902" w14:textId="77777777" w:rsidR="00546F3F" w:rsidRPr="00546F3F" w:rsidRDefault="00546F3F" w:rsidP="00546F3F">
      <w:pPr>
        <w:jc w:val="both"/>
        <w:rPr>
          <w:rFonts w:ascii="Arial" w:hAnsi="Arial" w:cs="Arial"/>
        </w:rPr>
      </w:pPr>
      <w:r w:rsidRPr="00546F3F">
        <w:rPr>
          <w:rFonts w:ascii="Arial" w:hAnsi="Arial" w:cs="Arial"/>
        </w:rPr>
        <w:t>Κατά την κατάρτιση των οικονομικών καταστάσεων, η διοίκηση είναι υπεύθυνη για την αξιολόγηση της ικανότητας της Εταιρείας να συνεχίσει τη δραστηριότητά της, γνωστοποιώντας όπου συντρέχει τέτοια περίπτωση, τα θέματα που σχετίζονται με τη συνεχιζόμενη δραστηριότητα και τη χρήση της λογιστικής αρχής της συνεχιζόμενης δραστηριότητας, εκτός και εάν η διοίκηση είτε προτίθεται να ρευστοποιήσει την Εταιρεία ή να διακόψει τη δραστηριότητά της ή δεν έχει άλλη ρεαλιστική εναλλακτική επιλογή από το να προβεί σ ’αυτές τις ενέργειες.</w:t>
      </w:r>
    </w:p>
    <w:p w14:paraId="570B8BCB" w14:textId="77777777" w:rsidR="00546F3F" w:rsidRPr="00546F3F" w:rsidRDefault="00546F3F" w:rsidP="00546F3F">
      <w:pPr>
        <w:jc w:val="both"/>
        <w:rPr>
          <w:rFonts w:ascii="Arial" w:hAnsi="Arial" w:cs="Arial"/>
          <w:highlight w:val="yellow"/>
        </w:rPr>
      </w:pPr>
    </w:p>
    <w:p w14:paraId="70FEE22E" w14:textId="77777777" w:rsidR="00546F3F" w:rsidRPr="00546F3F" w:rsidRDefault="00546F3F" w:rsidP="00546F3F">
      <w:pPr>
        <w:jc w:val="both"/>
        <w:rPr>
          <w:rFonts w:ascii="Arial" w:hAnsi="Arial" w:cs="Arial"/>
          <w:b/>
          <w:iCs/>
        </w:rPr>
      </w:pPr>
      <w:r w:rsidRPr="00546F3F">
        <w:rPr>
          <w:rFonts w:ascii="Arial" w:hAnsi="Arial" w:cs="Arial"/>
          <w:b/>
          <w:iCs/>
        </w:rPr>
        <w:t>Ευθύνες ελεγκτή για τον έλεγχο των οικονομικών καταστάσεων</w:t>
      </w:r>
    </w:p>
    <w:p w14:paraId="7D37ED14" w14:textId="77777777" w:rsidR="00546F3F" w:rsidRPr="00546F3F" w:rsidRDefault="00546F3F" w:rsidP="00546F3F">
      <w:pPr>
        <w:jc w:val="both"/>
        <w:rPr>
          <w:rFonts w:ascii="Arial" w:hAnsi="Arial" w:cs="Arial"/>
          <w:b/>
          <w:iCs/>
        </w:rPr>
      </w:pPr>
    </w:p>
    <w:p w14:paraId="658F0788" w14:textId="77777777" w:rsidR="00546F3F" w:rsidRPr="00546F3F" w:rsidRDefault="00546F3F" w:rsidP="00546F3F">
      <w:pPr>
        <w:jc w:val="both"/>
        <w:rPr>
          <w:rFonts w:ascii="Arial" w:hAnsi="Arial" w:cs="Arial"/>
        </w:rPr>
      </w:pPr>
      <w:r w:rsidRPr="00546F3F">
        <w:rPr>
          <w:rFonts w:ascii="Arial" w:hAnsi="Arial" w:cs="Arial"/>
        </w:rPr>
        <w:t xml:space="preserve">Οι στόχοι μας είναι να αποκτήσουμε εύλογη διασφάλιση για το κατά πόσο οι οικονομικές καταστάσεις, στο σύνολο τους, είναι απαλλαγμένες από ουσιώδες σφάλμα, που οφείλεται είτε σε απάτη είτε σε λάθος και να εκδώσουμε έκθεση ελεγκτή, η οποία περιλαμβάνει τη γνώμη μας. Η εύλογη διασφάλιση συνιστά διασφάλιση υψηλού επιπέδου, αλλά δεν είναι εγγύηση ότι ο έλεγχος που διενεργείται σύμφωνα με τα ΔΠΕ, όπως αυτά </w:t>
      </w:r>
      <w:r w:rsidRPr="00546F3F">
        <w:rPr>
          <w:rFonts w:ascii="Arial" w:hAnsi="Arial" w:cs="Arial"/>
          <w:color w:val="000000"/>
        </w:rPr>
        <w:t>έχουν ενσωματωθεί στην Ελληνική Νομοθεσία</w:t>
      </w:r>
      <w:r w:rsidRPr="00546F3F">
        <w:rPr>
          <w:rFonts w:ascii="Arial" w:hAnsi="Arial" w:cs="Arial"/>
        </w:rPr>
        <w:t xml:space="preserve">, θα εντοπίζει πάντα ένα ουσιώδες σφάλμα, όταν αυτό υπάρχει. Σφάλματα δύναται να προκύψουν από απάτη ή από λάθος και θεωρούνται ουσιώδη όταν, μεμονωμένα ή αθροιστικά, θα μπορούσε εύλογα να αναμένεται ότι θα επηρέαζαν τις οικονομικές αποφάσεις των χρηστών, που λαμβάνονται με βάση αυτές τις οικονομικές καταστάσεις. </w:t>
      </w:r>
    </w:p>
    <w:p w14:paraId="3B20E292" w14:textId="77777777" w:rsidR="00546F3F" w:rsidRPr="00546F3F" w:rsidRDefault="00546F3F" w:rsidP="00546F3F">
      <w:pPr>
        <w:jc w:val="both"/>
        <w:rPr>
          <w:rFonts w:ascii="Arial" w:hAnsi="Arial" w:cs="Arial"/>
        </w:rPr>
      </w:pPr>
    </w:p>
    <w:p w14:paraId="77A0BFAC" w14:textId="77777777" w:rsidR="00546F3F" w:rsidRPr="00546F3F" w:rsidRDefault="00546F3F" w:rsidP="00546F3F">
      <w:pPr>
        <w:jc w:val="both"/>
        <w:rPr>
          <w:rFonts w:ascii="Arial" w:hAnsi="Arial" w:cs="Arial"/>
        </w:rPr>
      </w:pPr>
      <w:r w:rsidRPr="00546F3F">
        <w:rPr>
          <w:rFonts w:ascii="Arial" w:hAnsi="Arial" w:cs="Arial"/>
        </w:rPr>
        <w:t>Ως καθήκον του ελέγχου, σύμφωνα με τα ΔΠΕ όπως αυτά έχουν ενσωματωθεί στην Ελληνική Νομοθεσία, ασκούμε επαγγελματική κρίση και διατηρούμε επαγγελματικό σκεπτικισμό καθ’ όλη τη διάρκεια του ελέγχου. Επίσης:</w:t>
      </w:r>
    </w:p>
    <w:p w14:paraId="6CE61202" w14:textId="77777777" w:rsidR="00546F3F" w:rsidRPr="00546F3F" w:rsidRDefault="00546F3F" w:rsidP="00546F3F">
      <w:pPr>
        <w:jc w:val="both"/>
        <w:rPr>
          <w:rFonts w:ascii="Arial" w:hAnsi="Arial" w:cs="Arial"/>
        </w:rPr>
      </w:pPr>
    </w:p>
    <w:p w14:paraId="514DBF8D" w14:textId="77777777" w:rsidR="00546F3F" w:rsidRPr="00546F3F" w:rsidRDefault="00546F3F" w:rsidP="00546F3F">
      <w:pPr>
        <w:pStyle w:val="af3"/>
        <w:numPr>
          <w:ilvl w:val="0"/>
          <w:numId w:val="12"/>
        </w:numPr>
        <w:spacing w:after="0" w:line="240" w:lineRule="auto"/>
        <w:ind w:left="284" w:hanging="284"/>
        <w:contextualSpacing w:val="0"/>
        <w:jc w:val="both"/>
        <w:rPr>
          <w:rFonts w:ascii="Arial" w:hAnsi="Arial" w:cs="Arial"/>
          <w:sz w:val="24"/>
          <w:szCs w:val="24"/>
        </w:rPr>
      </w:pPr>
      <w:r w:rsidRPr="00546F3F">
        <w:rPr>
          <w:rFonts w:ascii="Arial" w:hAnsi="Arial" w:cs="Arial"/>
          <w:sz w:val="24"/>
          <w:szCs w:val="24"/>
        </w:rPr>
        <w:t>Εντοπίζουμε και αξιολογούμε τους κινδύνους ουσιώδους σφάλματος στις οικονομικές καταστάσεις, που οφείλεται είτε σε απάτη είτε σε λάθος, σχεδιάζοντας και διενεργώντας ελεγκτικές διαδικασίες που ανταποκρίνονται στους κινδύνους αυτούς και αποκτούμε ελεγκτικά τεκμήρια που είναι επαρκή και κατάλληλα για να παρέχουν βάση για τη γνώμη μας. Ο κίνδυνος μη εντοπισμού ουσιώδους σφάλματος που οφείλεται σε απάτη είναι υψηλότερος από αυτόν που οφείλεται σε λάθος, καθώς η απάτη μπορεί να εμπεριέχει συμπαιγνία, πλαστογραφία, εσκεμμένες παραλείψεις, ψευδείς διαβεβαιώσεις ή παράκαμψη των δικλίδων εσωτερικού ελέγχου.</w:t>
      </w:r>
    </w:p>
    <w:p w14:paraId="2EBA628F" w14:textId="77777777" w:rsidR="00546F3F" w:rsidRPr="00546F3F" w:rsidRDefault="00546F3F" w:rsidP="00546F3F">
      <w:pPr>
        <w:pStyle w:val="af3"/>
        <w:spacing w:after="0" w:line="240" w:lineRule="auto"/>
        <w:ind w:left="284"/>
        <w:contextualSpacing w:val="0"/>
        <w:jc w:val="both"/>
        <w:rPr>
          <w:rFonts w:ascii="Arial" w:hAnsi="Arial" w:cs="Arial"/>
          <w:sz w:val="24"/>
          <w:szCs w:val="24"/>
        </w:rPr>
      </w:pPr>
    </w:p>
    <w:p w14:paraId="3F63D5BA" w14:textId="77777777" w:rsidR="00546F3F" w:rsidRPr="00546F3F" w:rsidRDefault="00546F3F" w:rsidP="00546F3F">
      <w:pPr>
        <w:pStyle w:val="af3"/>
        <w:numPr>
          <w:ilvl w:val="0"/>
          <w:numId w:val="12"/>
        </w:numPr>
        <w:spacing w:after="0" w:line="240" w:lineRule="auto"/>
        <w:ind w:left="284" w:hanging="284"/>
        <w:contextualSpacing w:val="0"/>
        <w:jc w:val="both"/>
        <w:rPr>
          <w:rFonts w:ascii="Arial" w:hAnsi="Arial" w:cs="Arial"/>
          <w:sz w:val="24"/>
          <w:szCs w:val="24"/>
        </w:rPr>
      </w:pPr>
      <w:r w:rsidRPr="00546F3F">
        <w:rPr>
          <w:rFonts w:ascii="Arial" w:hAnsi="Arial" w:cs="Arial"/>
          <w:sz w:val="24"/>
          <w:szCs w:val="24"/>
        </w:rPr>
        <w:t>Κατανοούμε τις δικλίδες εσωτερικού ελέγχου που σχετίζονται με τον έλεγχο, με σκοπό το σχεδιασμό ελεγκτικών διαδικασιών κατάλληλων για τις περιστάσεις, αλλά όχι με σκοπό τη διατύπωση γνώμης επί της αποτελεσματικότητας των δικλίδων εσωτερικού ελέγχου της Εταιρείας.</w:t>
      </w:r>
    </w:p>
    <w:p w14:paraId="740B08E0" w14:textId="77777777" w:rsidR="00546F3F" w:rsidRPr="00546F3F" w:rsidRDefault="00546F3F" w:rsidP="00546F3F">
      <w:pPr>
        <w:pStyle w:val="af3"/>
        <w:spacing w:after="0" w:line="240" w:lineRule="auto"/>
        <w:ind w:left="284"/>
        <w:contextualSpacing w:val="0"/>
        <w:jc w:val="both"/>
        <w:rPr>
          <w:rFonts w:ascii="Arial" w:hAnsi="Arial" w:cs="Arial"/>
          <w:sz w:val="24"/>
          <w:szCs w:val="24"/>
        </w:rPr>
      </w:pPr>
    </w:p>
    <w:p w14:paraId="66605E14" w14:textId="77777777" w:rsidR="00546F3F" w:rsidRPr="00546F3F" w:rsidRDefault="00546F3F" w:rsidP="00546F3F">
      <w:pPr>
        <w:pStyle w:val="af3"/>
        <w:numPr>
          <w:ilvl w:val="0"/>
          <w:numId w:val="12"/>
        </w:numPr>
        <w:spacing w:after="0" w:line="240" w:lineRule="auto"/>
        <w:ind w:left="284" w:hanging="284"/>
        <w:contextualSpacing w:val="0"/>
        <w:jc w:val="both"/>
        <w:rPr>
          <w:rFonts w:ascii="Arial" w:hAnsi="Arial" w:cs="Arial"/>
          <w:sz w:val="24"/>
          <w:szCs w:val="24"/>
        </w:rPr>
      </w:pPr>
      <w:r w:rsidRPr="00546F3F">
        <w:rPr>
          <w:rFonts w:ascii="Arial" w:hAnsi="Arial" w:cs="Arial"/>
          <w:sz w:val="24"/>
          <w:szCs w:val="24"/>
        </w:rPr>
        <w:t xml:space="preserve">Αξιολογούμε την καταλληλότητα των λογιστικών αρχών και μεθόδων που χρησιμοποιήθηκαν και το εύλογο των λογιστικών εκτιμήσεων και των σχετικών γνωστοποιήσεων που έγιναν από τη διοίκηση. </w:t>
      </w:r>
    </w:p>
    <w:p w14:paraId="1A0603E7" w14:textId="77777777" w:rsidR="00546F3F" w:rsidRPr="00546F3F" w:rsidRDefault="00546F3F" w:rsidP="00546F3F">
      <w:pPr>
        <w:pStyle w:val="af3"/>
        <w:spacing w:after="0" w:line="240" w:lineRule="auto"/>
        <w:ind w:left="284"/>
        <w:contextualSpacing w:val="0"/>
        <w:jc w:val="both"/>
        <w:rPr>
          <w:rFonts w:ascii="Arial" w:hAnsi="Arial" w:cs="Arial"/>
          <w:sz w:val="24"/>
          <w:szCs w:val="24"/>
        </w:rPr>
      </w:pPr>
    </w:p>
    <w:p w14:paraId="73D07833" w14:textId="77777777" w:rsidR="00546F3F" w:rsidRPr="00546F3F" w:rsidRDefault="00546F3F" w:rsidP="00546F3F">
      <w:pPr>
        <w:pStyle w:val="af3"/>
        <w:numPr>
          <w:ilvl w:val="0"/>
          <w:numId w:val="12"/>
        </w:numPr>
        <w:spacing w:after="0" w:line="240" w:lineRule="auto"/>
        <w:ind w:left="284" w:hanging="284"/>
        <w:contextualSpacing w:val="0"/>
        <w:jc w:val="both"/>
        <w:rPr>
          <w:rFonts w:ascii="Arial" w:hAnsi="Arial" w:cs="Arial"/>
          <w:sz w:val="24"/>
          <w:szCs w:val="24"/>
        </w:rPr>
      </w:pPr>
      <w:r w:rsidRPr="00546F3F">
        <w:rPr>
          <w:rFonts w:ascii="Arial" w:hAnsi="Arial" w:cs="Arial"/>
          <w:sz w:val="24"/>
          <w:szCs w:val="24"/>
        </w:rPr>
        <w:t>Αποφαινόμαστε για την καταλληλότητα της χρήσεως από τη διοίκηση της λογιστικής αρχής της συνεχιζόμενης δραστηριότητας και με βάση τα ελεγκτικά τεκμήρια που αποκτήθηκαν για το εάν υπάρχει ουσιώδης αβεβαιότητα σχετικά με γεγονότα ή συνθήκες που μπορεί να υποδηλώνουν ουσιώδη αβεβαιότητα ως προς την ικανότητα της Εταιρείας να συνεχίσει τη δραστηριότητά της. Εάν συμπεράνουμε ότι υφίσταται ουσιώδης αβεβαιότητα, είμαστε υποχρεωμένοι στην έκθεση ελεγκτή να επιστήσουμε την προσοχή στις σχετικές γνωστοποιήσεις των οικονομικών καταστάσεων ή εάν αυτές οι γνωστοποιήσεις είναι ανεπαρκείς να διαφοροποιήσουμε τη γνώμη μας. Τα συμπεράσματά μας βασίζονται σε ελεγκτικά τεκμήρια που αποκτώνται μέχρι την ημερομηνία της έκθεσης ελεγκτή. Ωστόσο, μελλοντικά γεγονότα ή συνθήκες ενδέχεται να έχουν ως αποτέλεσμα η Εταιρεία να παύσει να λειτουργεί ως συνεχιζόμενη δραστηριότητα.</w:t>
      </w:r>
    </w:p>
    <w:p w14:paraId="1FA04114" w14:textId="77777777" w:rsidR="00546F3F" w:rsidRPr="00546F3F" w:rsidRDefault="00546F3F" w:rsidP="00546F3F">
      <w:pPr>
        <w:pStyle w:val="af3"/>
        <w:spacing w:after="0" w:line="240" w:lineRule="auto"/>
        <w:ind w:left="284"/>
        <w:contextualSpacing w:val="0"/>
        <w:jc w:val="both"/>
        <w:rPr>
          <w:rFonts w:ascii="Arial" w:hAnsi="Arial" w:cs="Arial"/>
          <w:sz w:val="24"/>
          <w:szCs w:val="24"/>
        </w:rPr>
      </w:pPr>
    </w:p>
    <w:p w14:paraId="61ED5C2D" w14:textId="77777777" w:rsidR="00546F3F" w:rsidRPr="00546F3F" w:rsidRDefault="00546F3F" w:rsidP="00546F3F">
      <w:pPr>
        <w:pStyle w:val="af3"/>
        <w:numPr>
          <w:ilvl w:val="0"/>
          <w:numId w:val="12"/>
        </w:numPr>
        <w:spacing w:after="0" w:line="240" w:lineRule="auto"/>
        <w:ind w:left="284" w:hanging="284"/>
        <w:contextualSpacing w:val="0"/>
        <w:jc w:val="both"/>
        <w:rPr>
          <w:rFonts w:ascii="Arial" w:hAnsi="Arial" w:cs="Arial"/>
          <w:sz w:val="24"/>
          <w:szCs w:val="24"/>
        </w:rPr>
      </w:pPr>
      <w:r w:rsidRPr="00546F3F">
        <w:rPr>
          <w:rFonts w:ascii="Arial" w:hAnsi="Arial" w:cs="Arial"/>
          <w:sz w:val="24"/>
          <w:szCs w:val="24"/>
        </w:rPr>
        <w:t>Αξιολογούμε τη συνολική παρουσίαση, τη δομή και το περιεχόμενο των οικονομικών καταστάσεων, συμπεριλαμβανομένων των γνωστοποιήσεων, καθώς και το κατά πόσο οι οικονομικές καταστάσεις απεικονίζουν τις υποκείμενες συναλλαγές και τα γεγονότα με τρόπο που επιτυγχάνεται η εύλογη παρουσίαση.</w:t>
      </w:r>
    </w:p>
    <w:p w14:paraId="69F6283A" w14:textId="77777777" w:rsidR="00546F3F" w:rsidRPr="00546F3F" w:rsidRDefault="00546F3F" w:rsidP="00546F3F">
      <w:pPr>
        <w:pStyle w:val="af3"/>
        <w:spacing w:after="0" w:line="240" w:lineRule="auto"/>
        <w:ind w:left="284"/>
        <w:contextualSpacing w:val="0"/>
        <w:jc w:val="both"/>
        <w:rPr>
          <w:rFonts w:ascii="Arial" w:hAnsi="Arial" w:cs="Arial"/>
          <w:sz w:val="24"/>
          <w:szCs w:val="24"/>
        </w:rPr>
      </w:pPr>
    </w:p>
    <w:p w14:paraId="237218E8" w14:textId="77777777" w:rsidR="00546F3F" w:rsidRPr="00546F3F" w:rsidRDefault="00546F3F" w:rsidP="00546F3F">
      <w:pPr>
        <w:jc w:val="both"/>
        <w:rPr>
          <w:rFonts w:ascii="Arial" w:hAnsi="Arial" w:cs="Arial"/>
        </w:rPr>
      </w:pPr>
      <w:r w:rsidRPr="00546F3F">
        <w:rPr>
          <w:rFonts w:ascii="Arial" w:hAnsi="Arial" w:cs="Arial"/>
        </w:rPr>
        <w:t>Μεταξύ άλλων θεμάτων, κοινοποιούμε στη διοίκηση, το σχεδιαζόμενο εύρος και το χρονοδιάγραμμα του ελέγχου, καθώς και σημαντικά ευρήματα του ελέγχου, συμπεριλαμβανομένων όποιων σημαντικών ελλείψεων στις δικλίδες εσωτερικού ελέγχου εντοπίζουμε κατά τη διάρκεια του ελέγχου μας.</w:t>
      </w:r>
    </w:p>
    <w:p w14:paraId="6B323BF8" w14:textId="77777777" w:rsidR="00546F3F" w:rsidRPr="00546F3F" w:rsidRDefault="00546F3F" w:rsidP="00546F3F">
      <w:pPr>
        <w:jc w:val="both"/>
        <w:rPr>
          <w:rFonts w:ascii="Arial" w:hAnsi="Arial" w:cs="Arial"/>
          <w:highlight w:val="yellow"/>
        </w:rPr>
      </w:pPr>
    </w:p>
    <w:p w14:paraId="01338213" w14:textId="77777777" w:rsidR="00546F3F" w:rsidRPr="00546F3F" w:rsidRDefault="00546F3F" w:rsidP="00546F3F">
      <w:pPr>
        <w:tabs>
          <w:tab w:val="left" w:pos="0"/>
        </w:tabs>
        <w:autoSpaceDE w:val="0"/>
        <w:autoSpaceDN w:val="0"/>
        <w:adjustRightInd w:val="0"/>
        <w:jc w:val="both"/>
        <w:rPr>
          <w:rFonts w:ascii="Arial" w:hAnsi="Arial" w:cs="Arial"/>
          <w:b/>
          <w:u w:val="single"/>
        </w:rPr>
      </w:pPr>
      <w:r w:rsidRPr="00546F3F">
        <w:rPr>
          <w:rFonts w:ascii="Arial" w:hAnsi="Arial" w:cs="Arial"/>
          <w:b/>
          <w:u w:val="single"/>
        </w:rPr>
        <w:t>Έκθεση επί άλλων Νομικών και Κανονιστικών Απαιτήσεων</w:t>
      </w:r>
    </w:p>
    <w:p w14:paraId="3011B273" w14:textId="77777777" w:rsidR="00546F3F" w:rsidRPr="00546F3F" w:rsidRDefault="00546F3F" w:rsidP="00546F3F">
      <w:pPr>
        <w:tabs>
          <w:tab w:val="left" w:pos="0"/>
        </w:tabs>
        <w:autoSpaceDE w:val="0"/>
        <w:autoSpaceDN w:val="0"/>
        <w:adjustRightInd w:val="0"/>
        <w:jc w:val="both"/>
        <w:rPr>
          <w:rFonts w:ascii="Arial" w:hAnsi="Arial" w:cs="Arial"/>
          <w:b/>
          <w:u w:val="single"/>
        </w:rPr>
      </w:pPr>
    </w:p>
    <w:p w14:paraId="31F7AB50" w14:textId="77777777" w:rsidR="00546F3F" w:rsidRPr="00546F3F" w:rsidRDefault="00546F3F" w:rsidP="00546F3F">
      <w:pPr>
        <w:tabs>
          <w:tab w:val="left" w:pos="0"/>
          <w:tab w:val="left" w:pos="284"/>
        </w:tabs>
        <w:autoSpaceDE w:val="0"/>
        <w:autoSpaceDN w:val="0"/>
        <w:adjustRightInd w:val="0"/>
        <w:jc w:val="both"/>
        <w:rPr>
          <w:rFonts w:ascii="Arial" w:hAnsi="Arial" w:cs="Arial"/>
          <w:color w:val="000000"/>
        </w:rPr>
      </w:pPr>
      <w:r w:rsidRPr="00546F3F">
        <w:rPr>
          <w:rFonts w:ascii="Arial" w:hAnsi="Arial" w:cs="Arial"/>
          <w:color w:val="000000"/>
        </w:rPr>
        <w:t>Λαμβάνοντας υπόψη ότι η διοίκηση έχει την ευθύνη για την κατάρτιση της Έκθεσης Διαχείρισης του Διοικητικού Συμβουλίου, κατ’ εφαρμογή των διατάξεων της παραγράφου 5 του άρθρου 2  (μέρος Β) του Ν. 4336/2015, σημειώνουμε ότι:</w:t>
      </w:r>
    </w:p>
    <w:p w14:paraId="0573F09F" w14:textId="77777777" w:rsidR="00546F3F" w:rsidRPr="00546F3F" w:rsidRDefault="00546F3F" w:rsidP="00546F3F">
      <w:pPr>
        <w:autoSpaceDE w:val="0"/>
        <w:autoSpaceDN w:val="0"/>
        <w:adjustRightInd w:val="0"/>
        <w:jc w:val="both"/>
        <w:rPr>
          <w:rFonts w:ascii="Arial" w:hAnsi="Arial" w:cs="Arial"/>
          <w:color w:val="000000"/>
        </w:rPr>
      </w:pPr>
    </w:p>
    <w:p w14:paraId="4BE2C9B5" w14:textId="7443BF6F" w:rsidR="00546F3F" w:rsidRPr="00546F3F" w:rsidRDefault="00546F3F" w:rsidP="00546F3F">
      <w:pPr>
        <w:autoSpaceDE w:val="0"/>
        <w:autoSpaceDN w:val="0"/>
        <w:adjustRightInd w:val="0"/>
        <w:ind w:left="284" w:hanging="284"/>
        <w:jc w:val="both"/>
        <w:rPr>
          <w:rFonts w:ascii="Arial" w:hAnsi="Arial" w:cs="Arial"/>
          <w:color w:val="000000"/>
        </w:rPr>
      </w:pPr>
      <w:r w:rsidRPr="00546F3F">
        <w:rPr>
          <w:rFonts w:ascii="Arial" w:hAnsi="Arial" w:cs="Arial"/>
          <w:color w:val="000000"/>
        </w:rPr>
        <w:t xml:space="preserve">α) Κατά τη γνώμη μας η Έκθεση Διαχείρισης του Διοικητικού Συμβουλίου έχει καταρτισθεί σύμφωνα με τις ισχύουσες νομικές απαιτήσεις του άρθρου 150 του Ν. 4548/2018 και το περιεχόμενο αυτής αντιστοιχεί με τις συνημμένες οικονομικές καταστάσεις της χρήσεως που έληξε την </w:t>
      </w:r>
      <w:r w:rsidR="00DC5E67">
        <w:rPr>
          <w:rFonts w:ascii="Arial" w:hAnsi="Arial" w:cs="Arial"/>
          <w:color w:val="000000"/>
        </w:rPr>
        <w:t>3</w:t>
      </w:r>
      <w:r w:rsidRPr="00546F3F">
        <w:rPr>
          <w:rFonts w:ascii="Arial" w:hAnsi="Arial" w:cs="Arial"/>
          <w:color w:val="000000"/>
        </w:rPr>
        <w:t>1.12.2020.</w:t>
      </w:r>
    </w:p>
    <w:p w14:paraId="566100F4" w14:textId="77777777" w:rsidR="00546F3F" w:rsidRPr="00546F3F" w:rsidRDefault="00546F3F" w:rsidP="00546F3F">
      <w:pPr>
        <w:autoSpaceDE w:val="0"/>
        <w:autoSpaceDN w:val="0"/>
        <w:adjustRightInd w:val="0"/>
        <w:ind w:left="360" w:hanging="360"/>
        <w:jc w:val="both"/>
        <w:rPr>
          <w:rFonts w:ascii="Arial" w:hAnsi="Arial" w:cs="Arial"/>
          <w:color w:val="000000"/>
        </w:rPr>
      </w:pPr>
    </w:p>
    <w:p w14:paraId="626E6ADA" w14:textId="77777777" w:rsidR="00546F3F" w:rsidRPr="00546F3F" w:rsidRDefault="00546F3F" w:rsidP="00546F3F">
      <w:pPr>
        <w:autoSpaceDE w:val="0"/>
        <w:autoSpaceDN w:val="0"/>
        <w:adjustRightInd w:val="0"/>
        <w:ind w:left="284" w:hanging="284"/>
        <w:jc w:val="both"/>
        <w:rPr>
          <w:rFonts w:ascii="Arial" w:hAnsi="Arial" w:cs="Arial"/>
          <w:color w:val="000000"/>
        </w:rPr>
      </w:pPr>
      <w:r w:rsidRPr="00546F3F">
        <w:rPr>
          <w:rFonts w:ascii="Arial" w:hAnsi="Arial" w:cs="Arial"/>
          <w:color w:val="000000"/>
        </w:rPr>
        <w:t>β) Με βάση τη γνώση που αποκτήσαμε κατά τον έλεγχό μας, για την εταιρεία «ΕΛΛΗΝΙΚΑ ΦΑΡΜΑΚΑ - ΕΡΕΥΝΑ ΚΑΙ ΑΝΑΠΤΥΞΗ - ΑΝΩNΥΜΗ ΕΤΑΙΡΕΙΑ» και το περιβάλλον της, δεν έχουμε εντοπίσει ουσιώδεις ανακρίβειες στην Έκθεση Διαχείρισης του Διοικητικού της Συμβουλίου.</w:t>
      </w:r>
    </w:p>
    <w:p w14:paraId="410621B6" w14:textId="77777777" w:rsidR="003506D2" w:rsidRPr="00546F3F" w:rsidRDefault="003506D2" w:rsidP="00546F3F">
      <w:pPr>
        <w:spacing w:line="276" w:lineRule="auto"/>
        <w:jc w:val="both"/>
        <w:rPr>
          <w:rFonts w:ascii="Arial" w:hAnsi="Arial" w:cs="Arial"/>
          <w:highlight w:val="yellow"/>
        </w:rPr>
      </w:pPr>
    </w:p>
    <w:p w14:paraId="234807E7" w14:textId="77777777" w:rsidR="00AA777E" w:rsidRPr="00546F3F" w:rsidRDefault="00AA777E" w:rsidP="003506D2">
      <w:pPr>
        <w:pStyle w:val="BasicParagraph"/>
        <w:tabs>
          <w:tab w:val="left" w:pos="426"/>
        </w:tabs>
        <w:spacing w:after="0" w:line="276" w:lineRule="auto"/>
        <w:rPr>
          <w:rFonts w:ascii="Arial" w:hAnsi="Arial" w:cs="Arial"/>
          <w:lang w:val="el-GR"/>
        </w:rPr>
      </w:pPr>
      <w:r w:rsidRPr="00546F3F">
        <w:rPr>
          <w:rFonts w:ascii="Arial" w:hAnsi="Arial" w:cs="Arial"/>
          <w:lang w:val="el-GR"/>
        </w:rPr>
        <w:t xml:space="preserve">Αθήνα, </w:t>
      </w:r>
      <w:r w:rsidR="00F6444F" w:rsidRPr="00546F3F">
        <w:rPr>
          <w:rFonts w:ascii="Arial" w:hAnsi="Arial" w:cs="Arial"/>
          <w:lang w:val="el-GR"/>
        </w:rPr>
        <w:t xml:space="preserve"> 2</w:t>
      </w:r>
      <w:r w:rsidR="00047EA1" w:rsidRPr="00546F3F">
        <w:rPr>
          <w:rFonts w:ascii="Arial" w:hAnsi="Arial" w:cs="Arial"/>
          <w:lang w:val="el-GR"/>
        </w:rPr>
        <w:t xml:space="preserve"> </w:t>
      </w:r>
      <w:r w:rsidR="00F6444F" w:rsidRPr="00546F3F">
        <w:rPr>
          <w:rFonts w:ascii="Arial" w:hAnsi="Arial" w:cs="Arial"/>
          <w:lang w:val="el-GR"/>
        </w:rPr>
        <w:t xml:space="preserve"> Αυγούστ</w:t>
      </w:r>
      <w:r w:rsidR="00047EA1" w:rsidRPr="00546F3F">
        <w:rPr>
          <w:rFonts w:ascii="Arial" w:hAnsi="Arial" w:cs="Arial"/>
          <w:lang w:val="el-GR"/>
        </w:rPr>
        <w:t>ου</w:t>
      </w:r>
      <w:r w:rsidR="00546F3F" w:rsidRPr="00546F3F">
        <w:rPr>
          <w:rFonts w:ascii="Arial" w:hAnsi="Arial" w:cs="Arial"/>
          <w:lang w:val="el-GR"/>
        </w:rPr>
        <w:t xml:space="preserve"> 2021</w:t>
      </w:r>
    </w:p>
    <w:p w14:paraId="1D63F905" w14:textId="77777777" w:rsidR="00AA777E" w:rsidRPr="00546F3F" w:rsidRDefault="00AA777E" w:rsidP="003506D2">
      <w:pPr>
        <w:spacing w:line="276" w:lineRule="auto"/>
        <w:rPr>
          <w:rFonts w:ascii="Arial" w:hAnsi="Arial" w:cs="Arial"/>
          <w:sz w:val="20"/>
          <w:szCs w:val="20"/>
          <w:highlight w:val="yellow"/>
        </w:rPr>
      </w:pPr>
    </w:p>
    <w:p w14:paraId="1F54EEF7" w14:textId="77777777" w:rsidR="003506D2" w:rsidRPr="00546F3F" w:rsidRDefault="003506D2" w:rsidP="003506D2">
      <w:pPr>
        <w:spacing w:line="276" w:lineRule="auto"/>
        <w:rPr>
          <w:rFonts w:ascii="Arial" w:hAnsi="Arial" w:cs="Arial"/>
          <w:sz w:val="20"/>
          <w:szCs w:val="20"/>
          <w:highlight w:val="yellow"/>
        </w:rPr>
      </w:pPr>
    </w:p>
    <w:p w14:paraId="18602B69" w14:textId="77777777" w:rsidR="00DD015A" w:rsidRPr="00546F3F" w:rsidRDefault="00DD015A" w:rsidP="003506D2">
      <w:pPr>
        <w:spacing w:line="276" w:lineRule="auto"/>
        <w:rPr>
          <w:rFonts w:ascii="Arial" w:hAnsi="Arial" w:cs="Arial"/>
          <w:sz w:val="20"/>
          <w:szCs w:val="20"/>
          <w:highlight w:val="yellow"/>
        </w:rPr>
      </w:pPr>
    </w:p>
    <w:p w14:paraId="3C6E1F08" w14:textId="77777777" w:rsidR="00DD015A" w:rsidRPr="00546F3F" w:rsidRDefault="00DD015A" w:rsidP="003506D2">
      <w:pPr>
        <w:spacing w:line="276" w:lineRule="auto"/>
        <w:rPr>
          <w:rFonts w:ascii="Arial" w:hAnsi="Arial" w:cs="Arial"/>
          <w:sz w:val="20"/>
          <w:szCs w:val="20"/>
          <w:highlight w:val="yellow"/>
        </w:rPr>
      </w:pPr>
    </w:p>
    <w:p w14:paraId="67A93F1C" w14:textId="77777777" w:rsidR="003506D2" w:rsidRPr="00546F3F" w:rsidRDefault="003506D2" w:rsidP="003506D2">
      <w:pPr>
        <w:rPr>
          <w:rFonts w:ascii="Arial" w:hAnsi="Arial" w:cs="Arial"/>
          <w:sz w:val="20"/>
          <w:szCs w:val="20"/>
          <w:highlight w:val="yellow"/>
        </w:rPr>
      </w:pPr>
    </w:p>
    <w:p w14:paraId="62E700C4" w14:textId="77777777" w:rsidR="003506D2" w:rsidRPr="00546F3F" w:rsidRDefault="00546F3F" w:rsidP="003506D2">
      <w:pPr>
        <w:rPr>
          <w:rFonts w:ascii="Arial" w:hAnsi="Arial" w:cs="Arial"/>
        </w:rPr>
      </w:pPr>
      <w:r w:rsidRPr="00546F3F">
        <w:rPr>
          <w:rFonts w:ascii="Arial" w:hAnsi="Arial" w:cs="Arial"/>
          <w:b/>
        </w:rPr>
        <w:t>Χρήστος Π. Βελέντζας</w:t>
      </w:r>
    </w:p>
    <w:p w14:paraId="5315591C" w14:textId="77777777" w:rsidR="003506D2" w:rsidRPr="00546F3F" w:rsidRDefault="003506D2" w:rsidP="003506D2">
      <w:pPr>
        <w:rPr>
          <w:rFonts w:ascii="Arial" w:hAnsi="Arial" w:cs="Arial"/>
        </w:rPr>
      </w:pPr>
      <w:r w:rsidRPr="00546F3F">
        <w:rPr>
          <w:rFonts w:ascii="Arial" w:hAnsi="Arial" w:cs="Arial"/>
        </w:rPr>
        <w:t>Ορκωτός Ελεγκτής Λογιστής</w:t>
      </w:r>
    </w:p>
    <w:p w14:paraId="75087550" w14:textId="77777777" w:rsidR="003506D2" w:rsidRPr="00546F3F" w:rsidRDefault="00546F3F" w:rsidP="003506D2">
      <w:pPr>
        <w:rPr>
          <w:rFonts w:ascii="Arial" w:hAnsi="Arial" w:cs="Arial"/>
        </w:rPr>
      </w:pPr>
      <w:r w:rsidRPr="00546F3F">
        <w:rPr>
          <w:rFonts w:ascii="Arial" w:hAnsi="Arial" w:cs="Arial"/>
        </w:rPr>
        <w:t>Α.Μ. ΣΟΕΛ 12881</w:t>
      </w:r>
    </w:p>
    <w:p w14:paraId="60897EB6" w14:textId="77777777" w:rsidR="003506D2" w:rsidRPr="00546F3F" w:rsidRDefault="003506D2" w:rsidP="003506D2">
      <w:pPr>
        <w:rPr>
          <w:rFonts w:ascii="Arial" w:hAnsi="Arial" w:cs="Arial"/>
        </w:rPr>
      </w:pPr>
    </w:p>
    <w:p w14:paraId="15CF07AD" w14:textId="77777777" w:rsidR="003506D2" w:rsidRPr="00546F3F" w:rsidRDefault="003506D2" w:rsidP="003506D2">
      <w:pPr>
        <w:rPr>
          <w:rFonts w:ascii="Arial" w:hAnsi="Arial" w:cs="Arial"/>
        </w:rPr>
      </w:pPr>
      <w:r w:rsidRPr="00546F3F">
        <w:rPr>
          <w:rFonts w:ascii="Arial" w:hAnsi="Arial" w:cs="Arial"/>
        </w:rPr>
        <w:t>ΣΟΛ Α.Ε.</w:t>
      </w:r>
    </w:p>
    <w:p w14:paraId="42663F7B" w14:textId="77777777" w:rsidR="003506D2" w:rsidRPr="00546F3F" w:rsidRDefault="003506D2" w:rsidP="003506D2">
      <w:pPr>
        <w:rPr>
          <w:rFonts w:ascii="Arial" w:hAnsi="Arial" w:cs="Arial"/>
        </w:rPr>
      </w:pPr>
      <w:r w:rsidRPr="00546F3F">
        <w:rPr>
          <w:rFonts w:ascii="Arial" w:hAnsi="Arial" w:cs="Arial"/>
        </w:rPr>
        <w:t>Μέλος Δικτύου Crowe Global</w:t>
      </w:r>
    </w:p>
    <w:p w14:paraId="679E1E09" w14:textId="77777777" w:rsidR="003506D2" w:rsidRPr="00546F3F" w:rsidRDefault="003506D2" w:rsidP="003506D2">
      <w:pPr>
        <w:rPr>
          <w:rFonts w:ascii="Arial" w:hAnsi="Arial" w:cs="Arial"/>
        </w:rPr>
      </w:pPr>
      <w:r w:rsidRPr="00546F3F">
        <w:rPr>
          <w:rFonts w:ascii="Arial" w:hAnsi="Arial" w:cs="Arial"/>
        </w:rPr>
        <w:t>Φωκ. Νέγρη 3, 112 57 Αθήνα</w:t>
      </w:r>
    </w:p>
    <w:p w14:paraId="37F31CA2" w14:textId="77777777" w:rsidR="003506D2" w:rsidRPr="00546F3F" w:rsidRDefault="003506D2" w:rsidP="003506D2">
      <w:r w:rsidRPr="00546F3F">
        <w:rPr>
          <w:rFonts w:ascii="Arial" w:hAnsi="Arial" w:cs="Arial"/>
        </w:rPr>
        <w:t>Α.Μ. ΣΟΕΛ 125</w:t>
      </w:r>
    </w:p>
    <w:p w14:paraId="049E32C5" w14:textId="77777777" w:rsidR="00AA777E" w:rsidRPr="003506D2" w:rsidRDefault="00AA777E" w:rsidP="003506D2">
      <w:pPr>
        <w:spacing w:line="276" w:lineRule="auto"/>
        <w:rPr>
          <w:rFonts w:ascii="Arial" w:hAnsi="Arial" w:cs="Arial"/>
          <w:sz w:val="20"/>
          <w:szCs w:val="20"/>
          <w:highlight w:val="yellow"/>
        </w:rPr>
      </w:pPr>
    </w:p>
    <w:p w14:paraId="440E60B8" w14:textId="77777777" w:rsidR="00AA777E" w:rsidRPr="00A131AE" w:rsidRDefault="00AA777E" w:rsidP="00AA777E">
      <w:pPr>
        <w:rPr>
          <w:highlight w:val="yellow"/>
          <w:lang w:val="x-none" w:eastAsia="en-US"/>
        </w:rPr>
      </w:pPr>
    </w:p>
    <w:p w14:paraId="76A152AD" w14:textId="77777777" w:rsidR="003506D2" w:rsidRDefault="003506D2" w:rsidP="00AA777E">
      <w:pPr>
        <w:rPr>
          <w:highlight w:val="yellow"/>
          <w:lang w:val="x-none" w:eastAsia="en-US"/>
        </w:rPr>
        <w:sectPr w:rsidR="003506D2" w:rsidSect="003506D2">
          <w:headerReference w:type="default" r:id="rId11"/>
          <w:footerReference w:type="default" r:id="rId12"/>
          <w:headerReference w:type="first" r:id="rId13"/>
          <w:footerReference w:type="first" r:id="rId14"/>
          <w:pgSz w:w="11906" w:h="16838" w:code="9"/>
          <w:pgMar w:top="1418" w:right="1418" w:bottom="1191" w:left="1418" w:header="1134" w:footer="680" w:gutter="0"/>
          <w:cols w:space="708"/>
          <w:titlePg/>
          <w:docGrid w:linePitch="360"/>
        </w:sectPr>
      </w:pPr>
    </w:p>
    <w:p w14:paraId="25ED9CE7" w14:textId="77777777" w:rsidR="004A2266" w:rsidRPr="001D11B6" w:rsidRDefault="00614F01" w:rsidP="003506D2">
      <w:pPr>
        <w:pStyle w:val="1"/>
        <w:jc w:val="left"/>
        <w:rPr>
          <w:lang w:val="el-GR"/>
        </w:rPr>
      </w:pPr>
      <w:bookmarkStart w:id="5" w:name="_Toc488058528"/>
      <w:bookmarkStart w:id="6" w:name="_Toc15545989"/>
      <w:bookmarkEnd w:id="1"/>
      <w:bookmarkEnd w:id="2"/>
      <w:r w:rsidRPr="001D11B6">
        <w:lastRenderedPageBreak/>
        <w:t>ΙΣΟΛΟΓΙΣΜΟΣ της 31/12/20</w:t>
      </w:r>
      <w:bookmarkEnd w:id="5"/>
      <w:bookmarkEnd w:id="6"/>
      <w:r w:rsidR="00EA7128">
        <w:t>20</w:t>
      </w:r>
    </w:p>
    <w:p w14:paraId="27A90CAE" w14:textId="77777777" w:rsidR="005D16F6" w:rsidRPr="00FC0F5F" w:rsidRDefault="005D16F6" w:rsidP="005D16F6">
      <w:pPr>
        <w:rPr>
          <w:highlight w:val="yellow"/>
          <w:lang w:eastAsia="en-US"/>
        </w:rPr>
      </w:pPr>
    </w:p>
    <w:tbl>
      <w:tblPr>
        <w:tblW w:w="5000" w:type="pct"/>
        <w:tblLook w:val="04A0" w:firstRow="1" w:lastRow="0" w:firstColumn="1" w:lastColumn="0" w:noHBand="0" w:noVBand="1"/>
      </w:tblPr>
      <w:tblGrid>
        <w:gridCol w:w="276"/>
        <w:gridCol w:w="274"/>
        <w:gridCol w:w="4774"/>
        <w:gridCol w:w="1178"/>
        <w:gridCol w:w="1403"/>
        <w:gridCol w:w="1439"/>
      </w:tblGrid>
      <w:tr w:rsidR="00EA7128" w14:paraId="4008086C" w14:textId="77777777" w:rsidTr="00EA7128">
        <w:trPr>
          <w:trHeight w:val="330"/>
        </w:trPr>
        <w:tc>
          <w:tcPr>
            <w:tcW w:w="2848" w:type="pct"/>
            <w:gridSpan w:val="3"/>
            <w:tcBorders>
              <w:top w:val="single" w:sz="4" w:space="0" w:color="auto"/>
              <w:left w:val="single" w:sz="4" w:space="0" w:color="auto"/>
              <w:bottom w:val="nil"/>
              <w:right w:val="nil"/>
            </w:tcBorders>
            <w:shd w:val="clear" w:color="auto" w:fill="auto"/>
            <w:noWrap/>
            <w:vAlign w:val="bottom"/>
            <w:hideMark/>
          </w:tcPr>
          <w:p w14:paraId="1B5842FC" w14:textId="77777777" w:rsidR="00EA7128" w:rsidRDefault="00EA7128">
            <w:pPr>
              <w:rPr>
                <w:b/>
                <w:bCs/>
                <w:sz w:val="22"/>
                <w:szCs w:val="22"/>
              </w:rPr>
            </w:pPr>
            <w:r>
              <w:rPr>
                <w:b/>
                <w:bCs/>
                <w:sz w:val="22"/>
                <w:szCs w:val="22"/>
              </w:rPr>
              <w:t>ΕΝΕΡΓΗΤΙΚΟ</w:t>
            </w:r>
          </w:p>
        </w:tc>
        <w:tc>
          <w:tcPr>
            <w:tcW w:w="630" w:type="pct"/>
            <w:tcBorders>
              <w:top w:val="single" w:sz="4" w:space="0" w:color="auto"/>
              <w:left w:val="nil"/>
              <w:bottom w:val="nil"/>
              <w:right w:val="nil"/>
            </w:tcBorders>
            <w:shd w:val="clear" w:color="auto" w:fill="auto"/>
            <w:noWrap/>
            <w:vAlign w:val="bottom"/>
            <w:hideMark/>
          </w:tcPr>
          <w:p w14:paraId="240E73DF" w14:textId="77777777" w:rsidR="00EA7128" w:rsidRDefault="00EA7128">
            <w:pPr>
              <w:rPr>
                <w:b/>
                <w:bCs/>
                <w:color w:val="000000"/>
                <w:sz w:val="22"/>
                <w:szCs w:val="22"/>
                <w:u w:val="single"/>
              </w:rPr>
            </w:pPr>
            <w:r>
              <w:rPr>
                <w:b/>
                <w:bCs/>
                <w:color w:val="000000"/>
                <w:sz w:val="22"/>
                <w:szCs w:val="22"/>
                <w:u w:val="single"/>
              </w:rPr>
              <w:t>Σημείωση</w:t>
            </w:r>
          </w:p>
        </w:tc>
        <w:tc>
          <w:tcPr>
            <w:tcW w:w="751" w:type="pct"/>
            <w:tcBorders>
              <w:top w:val="single" w:sz="4" w:space="0" w:color="auto"/>
              <w:left w:val="single" w:sz="4" w:space="0" w:color="auto"/>
              <w:bottom w:val="nil"/>
              <w:right w:val="nil"/>
            </w:tcBorders>
            <w:shd w:val="clear" w:color="auto" w:fill="auto"/>
            <w:noWrap/>
            <w:vAlign w:val="bottom"/>
            <w:hideMark/>
          </w:tcPr>
          <w:p w14:paraId="597FFFF0" w14:textId="77777777" w:rsidR="00EA7128" w:rsidRDefault="00EA7128">
            <w:pPr>
              <w:jc w:val="right"/>
              <w:rPr>
                <w:b/>
                <w:bCs/>
                <w:sz w:val="22"/>
                <w:szCs w:val="22"/>
                <w:u w:val="single"/>
              </w:rPr>
            </w:pPr>
            <w:r>
              <w:rPr>
                <w:b/>
                <w:bCs/>
                <w:sz w:val="22"/>
                <w:szCs w:val="22"/>
                <w:u w:val="single"/>
              </w:rPr>
              <w:t>31/12/20</w:t>
            </w:r>
          </w:p>
        </w:tc>
        <w:tc>
          <w:tcPr>
            <w:tcW w:w="770" w:type="pct"/>
            <w:tcBorders>
              <w:top w:val="single" w:sz="4" w:space="0" w:color="auto"/>
              <w:left w:val="single" w:sz="4" w:space="0" w:color="auto"/>
              <w:bottom w:val="nil"/>
              <w:right w:val="single" w:sz="4" w:space="0" w:color="auto"/>
            </w:tcBorders>
            <w:shd w:val="clear" w:color="auto" w:fill="auto"/>
            <w:noWrap/>
            <w:vAlign w:val="bottom"/>
            <w:hideMark/>
          </w:tcPr>
          <w:p w14:paraId="1E8A706F" w14:textId="77777777" w:rsidR="00EA7128" w:rsidRDefault="00EA7128">
            <w:pPr>
              <w:jc w:val="right"/>
              <w:rPr>
                <w:b/>
                <w:bCs/>
                <w:color w:val="000000"/>
                <w:sz w:val="22"/>
                <w:szCs w:val="22"/>
                <w:u w:val="single"/>
              </w:rPr>
            </w:pPr>
            <w:r>
              <w:rPr>
                <w:b/>
                <w:bCs/>
                <w:color w:val="000000"/>
                <w:sz w:val="22"/>
                <w:szCs w:val="22"/>
                <w:u w:val="single"/>
              </w:rPr>
              <w:t>31/12/19</w:t>
            </w:r>
          </w:p>
        </w:tc>
      </w:tr>
      <w:tr w:rsidR="00EA7128" w14:paraId="6D5FE562" w14:textId="77777777" w:rsidTr="00EA7128">
        <w:trPr>
          <w:trHeight w:val="330"/>
        </w:trPr>
        <w:tc>
          <w:tcPr>
            <w:tcW w:w="2848" w:type="pct"/>
            <w:gridSpan w:val="3"/>
            <w:tcBorders>
              <w:top w:val="nil"/>
              <w:left w:val="single" w:sz="4" w:space="0" w:color="auto"/>
              <w:bottom w:val="nil"/>
              <w:right w:val="nil"/>
            </w:tcBorders>
            <w:shd w:val="clear" w:color="auto" w:fill="auto"/>
            <w:noWrap/>
            <w:vAlign w:val="bottom"/>
            <w:hideMark/>
          </w:tcPr>
          <w:p w14:paraId="0F37F69F" w14:textId="77777777" w:rsidR="00EA7128" w:rsidRDefault="00EA7128">
            <w:pPr>
              <w:rPr>
                <w:b/>
                <w:bCs/>
                <w:color w:val="000000"/>
                <w:sz w:val="22"/>
                <w:szCs w:val="22"/>
              </w:rPr>
            </w:pPr>
            <w:r>
              <w:rPr>
                <w:b/>
                <w:bCs/>
                <w:color w:val="000000"/>
                <w:sz w:val="22"/>
                <w:szCs w:val="22"/>
              </w:rPr>
              <w:t>Μη κυκλοφορούντα περιουσιακά στοιχεία</w:t>
            </w:r>
          </w:p>
        </w:tc>
        <w:tc>
          <w:tcPr>
            <w:tcW w:w="630" w:type="pct"/>
            <w:tcBorders>
              <w:top w:val="nil"/>
              <w:left w:val="nil"/>
              <w:bottom w:val="nil"/>
              <w:right w:val="nil"/>
            </w:tcBorders>
            <w:shd w:val="clear" w:color="auto" w:fill="auto"/>
            <w:noWrap/>
            <w:vAlign w:val="bottom"/>
            <w:hideMark/>
          </w:tcPr>
          <w:p w14:paraId="70FCEE00" w14:textId="77777777" w:rsidR="00EA7128" w:rsidRDefault="00EA7128">
            <w:pPr>
              <w:rPr>
                <w:b/>
                <w:bCs/>
                <w:color w:val="000000"/>
                <w:sz w:val="22"/>
                <w:szCs w:val="22"/>
              </w:rPr>
            </w:pPr>
          </w:p>
        </w:tc>
        <w:tc>
          <w:tcPr>
            <w:tcW w:w="751" w:type="pct"/>
            <w:tcBorders>
              <w:top w:val="nil"/>
              <w:left w:val="single" w:sz="4" w:space="0" w:color="auto"/>
              <w:bottom w:val="nil"/>
              <w:right w:val="nil"/>
            </w:tcBorders>
            <w:shd w:val="clear" w:color="auto" w:fill="auto"/>
            <w:noWrap/>
            <w:vAlign w:val="bottom"/>
            <w:hideMark/>
          </w:tcPr>
          <w:p w14:paraId="324377B4" w14:textId="77777777" w:rsidR="00EA7128" w:rsidRDefault="00EA7128">
            <w:pPr>
              <w:rPr>
                <w:sz w:val="22"/>
                <w:szCs w:val="22"/>
              </w:rPr>
            </w:pPr>
            <w:r>
              <w:rPr>
                <w:sz w:val="22"/>
                <w:szCs w:val="22"/>
              </w:rPr>
              <w:t> </w:t>
            </w:r>
          </w:p>
        </w:tc>
        <w:tc>
          <w:tcPr>
            <w:tcW w:w="770" w:type="pct"/>
            <w:tcBorders>
              <w:top w:val="nil"/>
              <w:left w:val="single" w:sz="4" w:space="0" w:color="auto"/>
              <w:bottom w:val="nil"/>
              <w:right w:val="single" w:sz="4" w:space="0" w:color="auto"/>
            </w:tcBorders>
            <w:shd w:val="clear" w:color="auto" w:fill="auto"/>
            <w:noWrap/>
            <w:vAlign w:val="bottom"/>
            <w:hideMark/>
          </w:tcPr>
          <w:p w14:paraId="6153F80D" w14:textId="77777777" w:rsidR="00EA7128" w:rsidRDefault="00EA7128">
            <w:pPr>
              <w:rPr>
                <w:color w:val="000000"/>
                <w:sz w:val="22"/>
                <w:szCs w:val="22"/>
              </w:rPr>
            </w:pPr>
            <w:r>
              <w:rPr>
                <w:color w:val="000000"/>
                <w:sz w:val="22"/>
                <w:szCs w:val="22"/>
              </w:rPr>
              <w:t> </w:t>
            </w:r>
          </w:p>
        </w:tc>
      </w:tr>
      <w:tr w:rsidR="00EA7128" w14:paraId="133A7361" w14:textId="77777777" w:rsidTr="00EA7128">
        <w:trPr>
          <w:trHeight w:val="330"/>
        </w:trPr>
        <w:tc>
          <w:tcPr>
            <w:tcW w:w="148" w:type="pct"/>
            <w:tcBorders>
              <w:top w:val="nil"/>
              <w:left w:val="single" w:sz="4" w:space="0" w:color="auto"/>
              <w:bottom w:val="nil"/>
              <w:right w:val="nil"/>
            </w:tcBorders>
            <w:shd w:val="clear" w:color="auto" w:fill="auto"/>
            <w:noWrap/>
            <w:vAlign w:val="bottom"/>
            <w:hideMark/>
          </w:tcPr>
          <w:p w14:paraId="12EFD891" w14:textId="77777777" w:rsidR="00EA7128" w:rsidRDefault="00EA7128">
            <w:pPr>
              <w:rPr>
                <w:sz w:val="22"/>
                <w:szCs w:val="22"/>
              </w:rPr>
            </w:pPr>
            <w:r>
              <w:rPr>
                <w:sz w:val="22"/>
                <w:szCs w:val="22"/>
              </w:rPr>
              <w:t> </w:t>
            </w:r>
          </w:p>
        </w:tc>
        <w:tc>
          <w:tcPr>
            <w:tcW w:w="2700" w:type="pct"/>
            <w:gridSpan w:val="2"/>
            <w:tcBorders>
              <w:top w:val="nil"/>
              <w:left w:val="nil"/>
              <w:bottom w:val="nil"/>
              <w:right w:val="nil"/>
            </w:tcBorders>
            <w:shd w:val="clear" w:color="auto" w:fill="auto"/>
            <w:noWrap/>
            <w:vAlign w:val="bottom"/>
            <w:hideMark/>
          </w:tcPr>
          <w:p w14:paraId="1653DED0" w14:textId="77777777" w:rsidR="00EA7128" w:rsidRDefault="00EA7128">
            <w:pPr>
              <w:rPr>
                <w:b/>
                <w:bCs/>
                <w:i/>
                <w:iCs/>
                <w:color w:val="000000"/>
                <w:sz w:val="22"/>
                <w:szCs w:val="22"/>
              </w:rPr>
            </w:pPr>
            <w:r>
              <w:rPr>
                <w:b/>
                <w:bCs/>
                <w:i/>
                <w:iCs/>
                <w:color w:val="000000"/>
                <w:sz w:val="22"/>
                <w:szCs w:val="22"/>
              </w:rPr>
              <w:t>Ενσώματα πάγια</w:t>
            </w:r>
          </w:p>
        </w:tc>
        <w:tc>
          <w:tcPr>
            <w:tcW w:w="630" w:type="pct"/>
            <w:tcBorders>
              <w:top w:val="nil"/>
              <w:left w:val="nil"/>
              <w:bottom w:val="nil"/>
              <w:right w:val="nil"/>
            </w:tcBorders>
            <w:shd w:val="clear" w:color="auto" w:fill="auto"/>
            <w:noWrap/>
            <w:vAlign w:val="bottom"/>
            <w:hideMark/>
          </w:tcPr>
          <w:p w14:paraId="2A978484" w14:textId="77777777" w:rsidR="00EA7128" w:rsidRDefault="00EA7128">
            <w:pPr>
              <w:rPr>
                <w:b/>
                <w:bCs/>
                <w:i/>
                <w:iCs/>
                <w:color w:val="000000"/>
                <w:sz w:val="22"/>
                <w:szCs w:val="22"/>
              </w:rPr>
            </w:pPr>
          </w:p>
        </w:tc>
        <w:tc>
          <w:tcPr>
            <w:tcW w:w="751" w:type="pct"/>
            <w:tcBorders>
              <w:top w:val="nil"/>
              <w:left w:val="single" w:sz="4" w:space="0" w:color="auto"/>
              <w:bottom w:val="nil"/>
              <w:right w:val="nil"/>
            </w:tcBorders>
            <w:shd w:val="clear" w:color="auto" w:fill="auto"/>
            <w:noWrap/>
            <w:vAlign w:val="bottom"/>
            <w:hideMark/>
          </w:tcPr>
          <w:p w14:paraId="11C38337" w14:textId="77777777" w:rsidR="00EA7128" w:rsidRDefault="00EA7128">
            <w:pPr>
              <w:rPr>
                <w:sz w:val="22"/>
                <w:szCs w:val="22"/>
              </w:rPr>
            </w:pPr>
            <w:r>
              <w:rPr>
                <w:sz w:val="22"/>
                <w:szCs w:val="22"/>
              </w:rPr>
              <w:t> </w:t>
            </w:r>
          </w:p>
        </w:tc>
        <w:tc>
          <w:tcPr>
            <w:tcW w:w="770" w:type="pct"/>
            <w:tcBorders>
              <w:top w:val="nil"/>
              <w:left w:val="single" w:sz="4" w:space="0" w:color="auto"/>
              <w:bottom w:val="nil"/>
              <w:right w:val="single" w:sz="4" w:space="0" w:color="auto"/>
            </w:tcBorders>
            <w:shd w:val="clear" w:color="auto" w:fill="auto"/>
            <w:noWrap/>
            <w:vAlign w:val="bottom"/>
            <w:hideMark/>
          </w:tcPr>
          <w:p w14:paraId="148D7E7E" w14:textId="77777777" w:rsidR="00EA7128" w:rsidRDefault="00EA7128">
            <w:pPr>
              <w:rPr>
                <w:color w:val="000000"/>
                <w:sz w:val="22"/>
                <w:szCs w:val="22"/>
              </w:rPr>
            </w:pPr>
            <w:r>
              <w:rPr>
                <w:color w:val="000000"/>
                <w:sz w:val="22"/>
                <w:szCs w:val="22"/>
              </w:rPr>
              <w:t> </w:t>
            </w:r>
          </w:p>
        </w:tc>
      </w:tr>
      <w:tr w:rsidR="00EA7128" w14:paraId="3999EAE5" w14:textId="77777777" w:rsidTr="00EA7128">
        <w:trPr>
          <w:trHeight w:val="330"/>
        </w:trPr>
        <w:tc>
          <w:tcPr>
            <w:tcW w:w="148" w:type="pct"/>
            <w:tcBorders>
              <w:top w:val="nil"/>
              <w:left w:val="single" w:sz="4" w:space="0" w:color="auto"/>
              <w:bottom w:val="nil"/>
              <w:right w:val="nil"/>
            </w:tcBorders>
            <w:shd w:val="clear" w:color="auto" w:fill="auto"/>
            <w:noWrap/>
            <w:vAlign w:val="bottom"/>
            <w:hideMark/>
          </w:tcPr>
          <w:p w14:paraId="44690E47" w14:textId="77777777" w:rsidR="00EA7128" w:rsidRDefault="00EA7128">
            <w:pPr>
              <w:rPr>
                <w:sz w:val="22"/>
                <w:szCs w:val="22"/>
              </w:rPr>
            </w:pPr>
            <w:r>
              <w:rPr>
                <w:sz w:val="22"/>
                <w:szCs w:val="22"/>
              </w:rPr>
              <w:t> </w:t>
            </w:r>
          </w:p>
        </w:tc>
        <w:tc>
          <w:tcPr>
            <w:tcW w:w="146" w:type="pct"/>
            <w:tcBorders>
              <w:top w:val="nil"/>
              <w:left w:val="nil"/>
              <w:bottom w:val="nil"/>
              <w:right w:val="nil"/>
            </w:tcBorders>
            <w:shd w:val="clear" w:color="auto" w:fill="auto"/>
            <w:noWrap/>
            <w:vAlign w:val="bottom"/>
            <w:hideMark/>
          </w:tcPr>
          <w:p w14:paraId="0D55A2EC" w14:textId="77777777" w:rsidR="00EA7128" w:rsidRDefault="00EA7128">
            <w:pPr>
              <w:rPr>
                <w:sz w:val="22"/>
                <w:szCs w:val="22"/>
              </w:rPr>
            </w:pPr>
          </w:p>
        </w:tc>
        <w:tc>
          <w:tcPr>
            <w:tcW w:w="2554" w:type="pct"/>
            <w:tcBorders>
              <w:top w:val="nil"/>
              <w:left w:val="nil"/>
              <w:bottom w:val="nil"/>
              <w:right w:val="nil"/>
            </w:tcBorders>
            <w:shd w:val="clear" w:color="auto" w:fill="auto"/>
            <w:noWrap/>
            <w:vAlign w:val="bottom"/>
            <w:hideMark/>
          </w:tcPr>
          <w:p w14:paraId="2957E525" w14:textId="77777777" w:rsidR="00EA7128" w:rsidRDefault="00EA7128">
            <w:pPr>
              <w:rPr>
                <w:color w:val="000000"/>
                <w:sz w:val="22"/>
                <w:szCs w:val="22"/>
              </w:rPr>
            </w:pPr>
            <w:r>
              <w:rPr>
                <w:color w:val="000000"/>
                <w:sz w:val="22"/>
                <w:szCs w:val="22"/>
              </w:rPr>
              <w:t>Μηχανολογικός εξοπλισμός</w:t>
            </w:r>
          </w:p>
        </w:tc>
        <w:tc>
          <w:tcPr>
            <w:tcW w:w="630" w:type="pct"/>
            <w:tcBorders>
              <w:top w:val="nil"/>
              <w:left w:val="nil"/>
              <w:bottom w:val="nil"/>
              <w:right w:val="nil"/>
            </w:tcBorders>
            <w:shd w:val="clear" w:color="auto" w:fill="auto"/>
            <w:noWrap/>
            <w:vAlign w:val="bottom"/>
            <w:hideMark/>
          </w:tcPr>
          <w:p w14:paraId="2BFE72C4" w14:textId="77777777" w:rsidR="00EA7128" w:rsidRDefault="00EA7128">
            <w:pPr>
              <w:jc w:val="center"/>
              <w:rPr>
                <w:color w:val="000000"/>
                <w:sz w:val="22"/>
                <w:szCs w:val="22"/>
              </w:rPr>
            </w:pPr>
            <w:r>
              <w:rPr>
                <w:color w:val="000000"/>
                <w:sz w:val="22"/>
                <w:szCs w:val="22"/>
              </w:rPr>
              <w:t>6.1</w:t>
            </w:r>
          </w:p>
        </w:tc>
        <w:tc>
          <w:tcPr>
            <w:tcW w:w="751" w:type="pct"/>
            <w:tcBorders>
              <w:top w:val="nil"/>
              <w:left w:val="single" w:sz="4" w:space="0" w:color="auto"/>
              <w:bottom w:val="nil"/>
              <w:right w:val="nil"/>
            </w:tcBorders>
            <w:shd w:val="clear" w:color="auto" w:fill="auto"/>
            <w:noWrap/>
            <w:vAlign w:val="bottom"/>
            <w:hideMark/>
          </w:tcPr>
          <w:p w14:paraId="5B859721" w14:textId="77777777" w:rsidR="00EA7128" w:rsidRDefault="00EA7128">
            <w:pPr>
              <w:jc w:val="right"/>
              <w:rPr>
                <w:sz w:val="22"/>
                <w:szCs w:val="22"/>
              </w:rPr>
            </w:pPr>
            <w:r>
              <w:rPr>
                <w:sz w:val="22"/>
                <w:szCs w:val="22"/>
              </w:rPr>
              <w:t>3.096,34</w:t>
            </w:r>
          </w:p>
        </w:tc>
        <w:tc>
          <w:tcPr>
            <w:tcW w:w="770" w:type="pct"/>
            <w:tcBorders>
              <w:top w:val="nil"/>
              <w:left w:val="single" w:sz="4" w:space="0" w:color="auto"/>
              <w:bottom w:val="nil"/>
              <w:right w:val="single" w:sz="4" w:space="0" w:color="auto"/>
            </w:tcBorders>
            <w:shd w:val="clear" w:color="auto" w:fill="auto"/>
            <w:noWrap/>
            <w:vAlign w:val="bottom"/>
            <w:hideMark/>
          </w:tcPr>
          <w:p w14:paraId="2F03A33B" w14:textId="77777777" w:rsidR="00EA7128" w:rsidRDefault="00EA7128">
            <w:pPr>
              <w:jc w:val="right"/>
              <w:rPr>
                <w:color w:val="000000"/>
                <w:sz w:val="22"/>
                <w:szCs w:val="22"/>
              </w:rPr>
            </w:pPr>
            <w:r>
              <w:rPr>
                <w:color w:val="000000"/>
                <w:sz w:val="22"/>
                <w:szCs w:val="22"/>
              </w:rPr>
              <w:t>3.899,40</w:t>
            </w:r>
          </w:p>
        </w:tc>
      </w:tr>
      <w:tr w:rsidR="00EA7128" w14:paraId="31AEC9A9" w14:textId="77777777" w:rsidTr="00EA7128">
        <w:trPr>
          <w:trHeight w:val="330"/>
        </w:trPr>
        <w:tc>
          <w:tcPr>
            <w:tcW w:w="148" w:type="pct"/>
            <w:tcBorders>
              <w:top w:val="nil"/>
              <w:left w:val="single" w:sz="4" w:space="0" w:color="auto"/>
              <w:bottom w:val="nil"/>
              <w:right w:val="nil"/>
            </w:tcBorders>
            <w:shd w:val="clear" w:color="auto" w:fill="auto"/>
            <w:noWrap/>
            <w:vAlign w:val="bottom"/>
            <w:hideMark/>
          </w:tcPr>
          <w:p w14:paraId="60D53293" w14:textId="77777777" w:rsidR="00EA7128" w:rsidRDefault="00EA7128">
            <w:pPr>
              <w:rPr>
                <w:sz w:val="22"/>
                <w:szCs w:val="22"/>
              </w:rPr>
            </w:pPr>
            <w:r>
              <w:rPr>
                <w:sz w:val="22"/>
                <w:szCs w:val="22"/>
              </w:rPr>
              <w:t> </w:t>
            </w:r>
          </w:p>
        </w:tc>
        <w:tc>
          <w:tcPr>
            <w:tcW w:w="146" w:type="pct"/>
            <w:tcBorders>
              <w:top w:val="nil"/>
              <w:left w:val="nil"/>
              <w:bottom w:val="nil"/>
              <w:right w:val="nil"/>
            </w:tcBorders>
            <w:shd w:val="clear" w:color="auto" w:fill="auto"/>
            <w:noWrap/>
            <w:vAlign w:val="bottom"/>
            <w:hideMark/>
          </w:tcPr>
          <w:p w14:paraId="6E021401" w14:textId="77777777" w:rsidR="00EA7128" w:rsidRDefault="00EA7128">
            <w:pPr>
              <w:rPr>
                <w:sz w:val="22"/>
                <w:szCs w:val="22"/>
              </w:rPr>
            </w:pPr>
          </w:p>
        </w:tc>
        <w:tc>
          <w:tcPr>
            <w:tcW w:w="2554" w:type="pct"/>
            <w:tcBorders>
              <w:top w:val="nil"/>
              <w:left w:val="nil"/>
              <w:bottom w:val="nil"/>
              <w:right w:val="nil"/>
            </w:tcBorders>
            <w:shd w:val="clear" w:color="auto" w:fill="auto"/>
            <w:noWrap/>
            <w:vAlign w:val="bottom"/>
            <w:hideMark/>
          </w:tcPr>
          <w:p w14:paraId="60C66C10" w14:textId="77777777" w:rsidR="00EA7128" w:rsidRDefault="00EA7128">
            <w:pPr>
              <w:rPr>
                <w:color w:val="000000"/>
                <w:sz w:val="22"/>
                <w:szCs w:val="22"/>
              </w:rPr>
            </w:pPr>
            <w:r>
              <w:rPr>
                <w:color w:val="000000"/>
                <w:sz w:val="22"/>
                <w:szCs w:val="22"/>
              </w:rPr>
              <w:t>Λοιπός εξοπλισμός</w:t>
            </w:r>
          </w:p>
        </w:tc>
        <w:tc>
          <w:tcPr>
            <w:tcW w:w="630" w:type="pct"/>
            <w:tcBorders>
              <w:top w:val="nil"/>
              <w:left w:val="nil"/>
              <w:bottom w:val="nil"/>
              <w:right w:val="nil"/>
            </w:tcBorders>
            <w:shd w:val="clear" w:color="auto" w:fill="auto"/>
            <w:noWrap/>
            <w:vAlign w:val="bottom"/>
            <w:hideMark/>
          </w:tcPr>
          <w:p w14:paraId="372C8BD6" w14:textId="77777777" w:rsidR="00EA7128" w:rsidRDefault="00EA7128">
            <w:pPr>
              <w:jc w:val="center"/>
              <w:rPr>
                <w:color w:val="000000"/>
                <w:sz w:val="22"/>
                <w:szCs w:val="22"/>
              </w:rPr>
            </w:pPr>
            <w:r>
              <w:rPr>
                <w:color w:val="000000"/>
                <w:sz w:val="22"/>
                <w:szCs w:val="22"/>
              </w:rPr>
              <w:t>6.1</w:t>
            </w:r>
          </w:p>
        </w:tc>
        <w:tc>
          <w:tcPr>
            <w:tcW w:w="751" w:type="pct"/>
            <w:tcBorders>
              <w:top w:val="nil"/>
              <w:left w:val="single" w:sz="4" w:space="0" w:color="auto"/>
              <w:bottom w:val="nil"/>
              <w:right w:val="nil"/>
            </w:tcBorders>
            <w:shd w:val="clear" w:color="auto" w:fill="auto"/>
            <w:noWrap/>
            <w:vAlign w:val="bottom"/>
            <w:hideMark/>
          </w:tcPr>
          <w:p w14:paraId="42FD6B68" w14:textId="77777777" w:rsidR="00EA7128" w:rsidRDefault="00EA7128">
            <w:pPr>
              <w:jc w:val="right"/>
              <w:rPr>
                <w:sz w:val="22"/>
                <w:szCs w:val="22"/>
              </w:rPr>
            </w:pPr>
            <w:r>
              <w:rPr>
                <w:sz w:val="22"/>
                <w:szCs w:val="22"/>
              </w:rPr>
              <w:t>253,74</w:t>
            </w:r>
          </w:p>
        </w:tc>
        <w:tc>
          <w:tcPr>
            <w:tcW w:w="770" w:type="pct"/>
            <w:tcBorders>
              <w:top w:val="nil"/>
              <w:left w:val="single" w:sz="4" w:space="0" w:color="auto"/>
              <w:bottom w:val="nil"/>
              <w:right w:val="single" w:sz="4" w:space="0" w:color="auto"/>
            </w:tcBorders>
            <w:shd w:val="clear" w:color="auto" w:fill="auto"/>
            <w:noWrap/>
            <w:vAlign w:val="bottom"/>
            <w:hideMark/>
          </w:tcPr>
          <w:p w14:paraId="0F0E4662" w14:textId="77777777" w:rsidR="00EA7128" w:rsidRDefault="00EA7128">
            <w:pPr>
              <w:jc w:val="right"/>
              <w:rPr>
                <w:color w:val="000000"/>
                <w:sz w:val="22"/>
                <w:szCs w:val="22"/>
              </w:rPr>
            </w:pPr>
            <w:r>
              <w:rPr>
                <w:color w:val="000000"/>
                <w:sz w:val="22"/>
                <w:szCs w:val="22"/>
              </w:rPr>
              <w:t>802,79</w:t>
            </w:r>
          </w:p>
        </w:tc>
      </w:tr>
      <w:tr w:rsidR="00EA7128" w14:paraId="16BCB7BD" w14:textId="77777777" w:rsidTr="00EA7128">
        <w:trPr>
          <w:trHeight w:val="330"/>
        </w:trPr>
        <w:tc>
          <w:tcPr>
            <w:tcW w:w="148" w:type="pct"/>
            <w:tcBorders>
              <w:top w:val="nil"/>
              <w:left w:val="single" w:sz="4" w:space="0" w:color="auto"/>
              <w:bottom w:val="nil"/>
              <w:right w:val="nil"/>
            </w:tcBorders>
            <w:shd w:val="clear" w:color="auto" w:fill="auto"/>
            <w:noWrap/>
            <w:vAlign w:val="bottom"/>
            <w:hideMark/>
          </w:tcPr>
          <w:p w14:paraId="197B2ABE" w14:textId="77777777" w:rsidR="00EA7128" w:rsidRDefault="00EA7128">
            <w:pPr>
              <w:rPr>
                <w:sz w:val="22"/>
                <w:szCs w:val="22"/>
              </w:rPr>
            </w:pPr>
            <w:r>
              <w:rPr>
                <w:sz w:val="22"/>
                <w:szCs w:val="22"/>
              </w:rPr>
              <w:t> </w:t>
            </w:r>
          </w:p>
        </w:tc>
        <w:tc>
          <w:tcPr>
            <w:tcW w:w="146" w:type="pct"/>
            <w:tcBorders>
              <w:top w:val="nil"/>
              <w:left w:val="nil"/>
              <w:bottom w:val="nil"/>
              <w:right w:val="nil"/>
            </w:tcBorders>
            <w:shd w:val="clear" w:color="auto" w:fill="auto"/>
            <w:noWrap/>
            <w:vAlign w:val="bottom"/>
            <w:hideMark/>
          </w:tcPr>
          <w:p w14:paraId="25238667" w14:textId="77777777" w:rsidR="00EA7128" w:rsidRDefault="00EA7128">
            <w:pPr>
              <w:rPr>
                <w:sz w:val="22"/>
                <w:szCs w:val="22"/>
              </w:rPr>
            </w:pPr>
          </w:p>
        </w:tc>
        <w:tc>
          <w:tcPr>
            <w:tcW w:w="2554" w:type="pct"/>
            <w:tcBorders>
              <w:top w:val="nil"/>
              <w:left w:val="nil"/>
              <w:bottom w:val="nil"/>
              <w:right w:val="nil"/>
            </w:tcBorders>
            <w:shd w:val="clear" w:color="auto" w:fill="auto"/>
            <w:noWrap/>
            <w:vAlign w:val="bottom"/>
            <w:hideMark/>
          </w:tcPr>
          <w:p w14:paraId="5EE7ECEA" w14:textId="77777777" w:rsidR="00EA7128" w:rsidRDefault="00EA7128">
            <w:pPr>
              <w:rPr>
                <w:color w:val="000000"/>
                <w:sz w:val="22"/>
                <w:szCs w:val="22"/>
              </w:rPr>
            </w:pPr>
            <w:r>
              <w:rPr>
                <w:color w:val="000000"/>
                <w:sz w:val="22"/>
                <w:szCs w:val="22"/>
              </w:rPr>
              <w:t>Επενδύσεις σε ακίνητα</w:t>
            </w:r>
          </w:p>
        </w:tc>
        <w:tc>
          <w:tcPr>
            <w:tcW w:w="630" w:type="pct"/>
            <w:tcBorders>
              <w:top w:val="nil"/>
              <w:left w:val="nil"/>
              <w:bottom w:val="nil"/>
              <w:right w:val="nil"/>
            </w:tcBorders>
            <w:shd w:val="clear" w:color="auto" w:fill="auto"/>
            <w:noWrap/>
            <w:vAlign w:val="bottom"/>
            <w:hideMark/>
          </w:tcPr>
          <w:p w14:paraId="0278C280" w14:textId="77777777" w:rsidR="00EA7128" w:rsidRDefault="00EA7128">
            <w:pPr>
              <w:jc w:val="center"/>
              <w:rPr>
                <w:color w:val="000000"/>
                <w:sz w:val="22"/>
                <w:szCs w:val="22"/>
              </w:rPr>
            </w:pPr>
            <w:r>
              <w:rPr>
                <w:color w:val="000000"/>
                <w:sz w:val="22"/>
                <w:szCs w:val="22"/>
              </w:rPr>
              <w:t>6.2</w:t>
            </w:r>
          </w:p>
        </w:tc>
        <w:tc>
          <w:tcPr>
            <w:tcW w:w="751" w:type="pct"/>
            <w:tcBorders>
              <w:top w:val="nil"/>
              <w:left w:val="single" w:sz="4" w:space="0" w:color="auto"/>
              <w:bottom w:val="nil"/>
              <w:right w:val="nil"/>
            </w:tcBorders>
            <w:shd w:val="clear" w:color="auto" w:fill="auto"/>
            <w:noWrap/>
            <w:vAlign w:val="bottom"/>
            <w:hideMark/>
          </w:tcPr>
          <w:p w14:paraId="6DCA54C8" w14:textId="77777777" w:rsidR="00EA7128" w:rsidRDefault="00EA7128">
            <w:pPr>
              <w:jc w:val="right"/>
              <w:rPr>
                <w:sz w:val="22"/>
                <w:szCs w:val="22"/>
              </w:rPr>
            </w:pPr>
            <w:r>
              <w:rPr>
                <w:sz w:val="22"/>
                <w:szCs w:val="22"/>
              </w:rPr>
              <w:t>59.430,00</w:t>
            </w:r>
          </w:p>
        </w:tc>
        <w:tc>
          <w:tcPr>
            <w:tcW w:w="770" w:type="pct"/>
            <w:tcBorders>
              <w:top w:val="nil"/>
              <w:left w:val="single" w:sz="4" w:space="0" w:color="auto"/>
              <w:bottom w:val="nil"/>
              <w:right w:val="single" w:sz="4" w:space="0" w:color="auto"/>
            </w:tcBorders>
            <w:shd w:val="clear" w:color="auto" w:fill="auto"/>
            <w:noWrap/>
            <w:vAlign w:val="bottom"/>
            <w:hideMark/>
          </w:tcPr>
          <w:p w14:paraId="062363EA" w14:textId="77777777" w:rsidR="00EA7128" w:rsidRDefault="00EA7128">
            <w:pPr>
              <w:jc w:val="right"/>
              <w:rPr>
                <w:color w:val="000000"/>
                <w:sz w:val="22"/>
                <w:szCs w:val="22"/>
              </w:rPr>
            </w:pPr>
            <w:r>
              <w:rPr>
                <w:color w:val="000000"/>
                <w:sz w:val="22"/>
                <w:szCs w:val="22"/>
              </w:rPr>
              <w:t>59.430,00</w:t>
            </w:r>
          </w:p>
        </w:tc>
      </w:tr>
      <w:tr w:rsidR="00EA7128" w14:paraId="547D7650" w14:textId="77777777" w:rsidTr="00EA7128">
        <w:trPr>
          <w:trHeight w:val="330"/>
        </w:trPr>
        <w:tc>
          <w:tcPr>
            <w:tcW w:w="148" w:type="pct"/>
            <w:tcBorders>
              <w:top w:val="nil"/>
              <w:left w:val="single" w:sz="4" w:space="0" w:color="auto"/>
              <w:bottom w:val="nil"/>
              <w:right w:val="nil"/>
            </w:tcBorders>
            <w:shd w:val="clear" w:color="auto" w:fill="auto"/>
            <w:noWrap/>
            <w:vAlign w:val="bottom"/>
            <w:hideMark/>
          </w:tcPr>
          <w:p w14:paraId="60E19C2F" w14:textId="77777777" w:rsidR="00EA7128" w:rsidRDefault="00EA7128">
            <w:pPr>
              <w:rPr>
                <w:sz w:val="22"/>
                <w:szCs w:val="22"/>
              </w:rPr>
            </w:pPr>
            <w:r>
              <w:rPr>
                <w:sz w:val="22"/>
                <w:szCs w:val="22"/>
              </w:rPr>
              <w:t> </w:t>
            </w:r>
          </w:p>
        </w:tc>
        <w:tc>
          <w:tcPr>
            <w:tcW w:w="146" w:type="pct"/>
            <w:tcBorders>
              <w:top w:val="nil"/>
              <w:left w:val="nil"/>
              <w:bottom w:val="nil"/>
              <w:right w:val="nil"/>
            </w:tcBorders>
            <w:shd w:val="clear" w:color="auto" w:fill="auto"/>
            <w:noWrap/>
            <w:vAlign w:val="bottom"/>
            <w:hideMark/>
          </w:tcPr>
          <w:p w14:paraId="4A319EB3" w14:textId="77777777" w:rsidR="00EA7128" w:rsidRDefault="00EA7128">
            <w:pPr>
              <w:rPr>
                <w:sz w:val="22"/>
                <w:szCs w:val="22"/>
              </w:rPr>
            </w:pPr>
          </w:p>
        </w:tc>
        <w:tc>
          <w:tcPr>
            <w:tcW w:w="2554" w:type="pct"/>
            <w:tcBorders>
              <w:top w:val="nil"/>
              <w:left w:val="nil"/>
              <w:bottom w:val="nil"/>
              <w:right w:val="nil"/>
            </w:tcBorders>
            <w:shd w:val="clear" w:color="auto" w:fill="auto"/>
            <w:noWrap/>
            <w:vAlign w:val="bottom"/>
            <w:hideMark/>
          </w:tcPr>
          <w:p w14:paraId="6CA21AE2" w14:textId="77777777" w:rsidR="00EA7128" w:rsidRDefault="00EA7128">
            <w:pPr>
              <w:rPr>
                <w:b/>
                <w:bCs/>
                <w:i/>
                <w:iCs/>
                <w:color w:val="000000"/>
                <w:sz w:val="22"/>
                <w:szCs w:val="22"/>
              </w:rPr>
            </w:pPr>
            <w:r>
              <w:rPr>
                <w:b/>
                <w:bCs/>
                <w:i/>
                <w:iCs/>
                <w:color w:val="000000"/>
                <w:sz w:val="22"/>
                <w:szCs w:val="22"/>
              </w:rPr>
              <w:t>Σύνολο</w:t>
            </w:r>
          </w:p>
        </w:tc>
        <w:tc>
          <w:tcPr>
            <w:tcW w:w="630" w:type="pct"/>
            <w:tcBorders>
              <w:top w:val="nil"/>
              <w:left w:val="nil"/>
              <w:bottom w:val="nil"/>
              <w:right w:val="nil"/>
            </w:tcBorders>
            <w:shd w:val="clear" w:color="auto" w:fill="auto"/>
            <w:noWrap/>
            <w:vAlign w:val="bottom"/>
            <w:hideMark/>
          </w:tcPr>
          <w:p w14:paraId="21EE327C" w14:textId="77777777" w:rsidR="00EA7128" w:rsidRDefault="00EA7128">
            <w:pPr>
              <w:rPr>
                <w:b/>
                <w:bCs/>
                <w:i/>
                <w:iCs/>
                <w:color w:val="000000"/>
                <w:sz w:val="22"/>
                <w:szCs w:val="22"/>
              </w:rPr>
            </w:pPr>
          </w:p>
        </w:tc>
        <w:tc>
          <w:tcPr>
            <w:tcW w:w="751" w:type="pct"/>
            <w:tcBorders>
              <w:top w:val="single" w:sz="4" w:space="0" w:color="auto"/>
              <w:left w:val="single" w:sz="4" w:space="0" w:color="auto"/>
              <w:bottom w:val="double" w:sz="6" w:space="0" w:color="auto"/>
              <w:right w:val="nil"/>
            </w:tcBorders>
            <w:shd w:val="clear" w:color="auto" w:fill="auto"/>
            <w:noWrap/>
            <w:vAlign w:val="bottom"/>
            <w:hideMark/>
          </w:tcPr>
          <w:p w14:paraId="4A13858E" w14:textId="77777777" w:rsidR="00EA7128" w:rsidRDefault="00EA7128">
            <w:pPr>
              <w:jc w:val="right"/>
              <w:rPr>
                <w:b/>
                <w:bCs/>
                <w:i/>
                <w:iCs/>
                <w:sz w:val="22"/>
                <w:szCs w:val="22"/>
              </w:rPr>
            </w:pPr>
            <w:r>
              <w:rPr>
                <w:b/>
                <w:bCs/>
                <w:i/>
                <w:iCs/>
                <w:sz w:val="22"/>
                <w:szCs w:val="22"/>
              </w:rPr>
              <w:t>62.780,08</w:t>
            </w:r>
          </w:p>
        </w:tc>
        <w:tc>
          <w:tcPr>
            <w:tcW w:w="770" w:type="pct"/>
            <w:tcBorders>
              <w:top w:val="single" w:sz="4" w:space="0" w:color="auto"/>
              <w:left w:val="single" w:sz="4" w:space="0" w:color="auto"/>
              <w:bottom w:val="double" w:sz="6" w:space="0" w:color="auto"/>
              <w:right w:val="single" w:sz="4" w:space="0" w:color="auto"/>
            </w:tcBorders>
            <w:shd w:val="clear" w:color="auto" w:fill="auto"/>
            <w:noWrap/>
            <w:vAlign w:val="bottom"/>
            <w:hideMark/>
          </w:tcPr>
          <w:p w14:paraId="69F76F80" w14:textId="77777777" w:rsidR="00EA7128" w:rsidRDefault="00EA7128">
            <w:pPr>
              <w:jc w:val="right"/>
              <w:rPr>
                <w:b/>
                <w:bCs/>
                <w:i/>
                <w:iCs/>
                <w:color w:val="000000"/>
                <w:sz w:val="22"/>
                <w:szCs w:val="22"/>
              </w:rPr>
            </w:pPr>
            <w:r>
              <w:rPr>
                <w:b/>
                <w:bCs/>
                <w:i/>
                <w:iCs/>
                <w:color w:val="000000"/>
                <w:sz w:val="22"/>
                <w:szCs w:val="22"/>
              </w:rPr>
              <w:t>64.132,19</w:t>
            </w:r>
          </w:p>
        </w:tc>
      </w:tr>
      <w:tr w:rsidR="00EA7128" w14:paraId="26F52B8D" w14:textId="77777777" w:rsidTr="00EA7128">
        <w:trPr>
          <w:trHeight w:val="330"/>
        </w:trPr>
        <w:tc>
          <w:tcPr>
            <w:tcW w:w="148" w:type="pct"/>
            <w:tcBorders>
              <w:top w:val="nil"/>
              <w:left w:val="single" w:sz="4" w:space="0" w:color="auto"/>
              <w:bottom w:val="nil"/>
              <w:right w:val="nil"/>
            </w:tcBorders>
            <w:shd w:val="clear" w:color="auto" w:fill="auto"/>
            <w:noWrap/>
            <w:vAlign w:val="bottom"/>
            <w:hideMark/>
          </w:tcPr>
          <w:p w14:paraId="6C30BBB8" w14:textId="77777777" w:rsidR="00EA7128" w:rsidRDefault="00EA7128">
            <w:pPr>
              <w:rPr>
                <w:sz w:val="22"/>
                <w:szCs w:val="22"/>
              </w:rPr>
            </w:pPr>
            <w:r>
              <w:rPr>
                <w:sz w:val="22"/>
                <w:szCs w:val="22"/>
              </w:rPr>
              <w:t> </w:t>
            </w:r>
          </w:p>
        </w:tc>
        <w:tc>
          <w:tcPr>
            <w:tcW w:w="2700" w:type="pct"/>
            <w:gridSpan w:val="2"/>
            <w:tcBorders>
              <w:top w:val="nil"/>
              <w:left w:val="nil"/>
              <w:bottom w:val="nil"/>
              <w:right w:val="nil"/>
            </w:tcBorders>
            <w:shd w:val="clear" w:color="auto" w:fill="auto"/>
            <w:noWrap/>
            <w:vAlign w:val="bottom"/>
            <w:hideMark/>
          </w:tcPr>
          <w:p w14:paraId="249E67D3" w14:textId="77777777" w:rsidR="00EA7128" w:rsidRDefault="00EA7128">
            <w:pPr>
              <w:rPr>
                <w:b/>
                <w:bCs/>
                <w:i/>
                <w:iCs/>
                <w:color w:val="000000"/>
                <w:sz w:val="22"/>
                <w:szCs w:val="22"/>
              </w:rPr>
            </w:pPr>
            <w:r>
              <w:rPr>
                <w:b/>
                <w:bCs/>
                <w:i/>
                <w:iCs/>
                <w:color w:val="000000"/>
                <w:sz w:val="22"/>
                <w:szCs w:val="22"/>
              </w:rPr>
              <w:t>Άυλα πάγια στοιχεία</w:t>
            </w:r>
          </w:p>
        </w:tc>
        <w:tc>
          <w:tcPr>
            <w:tcW w:w="630" w:type="pct"/>
            <w:tcBorders>
              <w:top w:val="nil"/>
              <w:left w:val="nil"/>
              <w:bottom w:val="nil"/>
              <w:right w:val="nil"/>
            </w:tcBorders>
            <w:shd w:val="clear" w:color="auto" w:fill="auto"/>
            <w:noWrap/>
            <w:vAlign w:val="bottom"/>
            <w:hideMark/>
          </w:tcPr>
          <w:p w14:paraId="6C01C55E" w14:textId="77777777" w:rsidR="00EA7128" w:rsidRDefault="00EA7128">
            <w:pPr>
              <w:rPr>
                <w:b/>
                <w:bCs/>
                <w:i/>
                <w:iCs/>
                <w:color w:val="000000"/>
                <w:sz w:val="22"/>
                <w:szCs w:val="22"/>
              </w:rPr>
            </w:pPr>
          </w:p>
        </w:tc>
        <w:tc>
          <w:tcPr>
            <w:tcW w:w="751" w:type="pct"/>
            <w:tcBorders>
              <w:top w:val="nil"/>
              <w:left w:val="single" w:sz="4" w:space="0" w:color="auto"/>
              <w:bottom w:val="nil"/>
              <w:right w:val="nil"/>
            </w:tcBorders>
            <w:shd w:val="clear" w:color="auto" w:fill="auto"/>
            <w:noWrap/>
            <w:vAlign w:val="bottom"/>
            <w:hideMark/>
          </w:tcPr>
          <w:p w14:paraId="1AFD9E70" w14:textId="77777777" w:rsidR="00EA7128" w:rsidRDefault="00EA7128">
            <w:pPr>
              <w:rPr>
                <w:sz w:val="22"/>
                <w:szCs w:val="22"/>
              </w:rPr>
            </w:pPr>
            <w:r>
              <w:rPr>
                <w:sz w:val="22"/>
                <w:szCs w:val="22"/>
              </w:rPr>
              <w:t> </w:t>
            </w:r>
          </w:p>
        </w:tc>
        <w:tc>
          <w:tcPr>
            <w:tcW w:w="770" w:type="pct"/>
            <w:tcBorders>
              <w:top w:val="nil"/>
              <w:left w:val="single" w:sz="4" w:space="0" w:color="auto"/>
              <w:bottom w:val="nil"/>
              <w:right w:val="single" w:sz="4" w:space="0" w:color="auto"/>
            </w:tcBorders>
            <w:shd w:val="clear" w:color="auto" w:fill="auto"/>
            <w:noWrap/>
            <w:vAlign w:val="bottom"/>
            <w:hideMark/>
          </w:tcPr>
          <w:p w14:paraId="0EB3E8C3" w14:textId="77777777" w:rsidR="00EA7128" w:rsidRDefault="00EA7128">
            <w:pPr>
              <w:rPr>
                <w:color w:val="000000"/>
                <w:sz w:val="22"/>
                <w:szCs w:val="22"/>
              </w:rPr>
            </w:pPr>
            <w:r>
              <w:rPr>
                <w:color w:val="000000"/>
                <w:sz w:val="22"/>
                <w:szCs w:val="22"/>
              </w:rPr>
              <w:t> </w:t>
            </w:r>
          </w:p>
        </w:tc>
      </w:tr>
      <w:tr w:rsidR="00EA7128" w14:paraId="0A886F0D" w14:textId="77777777" w:rsidTr="00EA7128">
        <w:trPr>
          <w:trHeight w:val="330"/>
        </w:trPr>
        <w:tc>
          <w:tcPr>
            <w:tcW w:w="148" w:type="pct"/>
            <w:tcBorders>
              <w:top w:val="nil"/>
              <w:left w:val="single" w:sz="4" w:space="0" w:color="auto"/>
              <w:bottom w:val="nil"/>
              <w:right w:val="nil"/>
            </w:tcBorders>
            <w:shd w:val="clear" w:color="auto" w:fill="auto"/>
            <w:noWrap/>
            <w:vAlign w:val="bottom"/>
            <w:hideMark/>
          </w:tcPr>
          <w:p w14:paraId="2694883B" w14:textId="77777777" w:rsidR="00EA7128" w:rsidRDefault="00EA7128">
            <w:pPr>
              <w:rPr>
                <w:sz w:val="22"/>
                <w:szCs w:val="22"/>
              </w:rPr>
            </w:pPr>
            <w:r>
              <w:rPr>
                <w:sz w:val="22"/>
                <w:szCs w:val="22"/>
              </w:rPr>
              <w:t> </w:t>
            </w:r>
          </w:p>
        </w:tc>
        <w:tc>
          <w:tcPr>
            <w:tcW w:w="146" w:type="pct"/>
            <w:tcBorders>
              <w:top w:val="nil"/>
              <w:left w:val="nil"/>
              <w:bottom w:val="nil"/>
              <w:right w:val="nil"/>
            </w:tcBorders>
            <w:shd w:val="clear" w:color="auto" w:fill="auto"/>
            <w:noWrap/>
            <w:vAlign w:val="bottom"/>
            <w:hideMark/>
          </w:tcPr>
          <w:p w14:paraId="2B3B0844" w14:textId="77777777" w:rsidR="00EA7128" w:rsidRDefault="00EA7128">
            <w:pPr>
              <w:rPr>
                <w:sz w:val="22"/>
                <w:szCs w:val="22"/>
              </w:rPr>
            </w:pPr>
          </w:p>
        </w:tc>
        <w:tc>
          <w:tcPr>
            <w:tcW w:w="2554" w:type="pct"/>
            <w:tcBorders>
              <w:top w:val="nil"/>
              <w:left w:val="nil"/>
              <w:bottom w:val="nil"/>
              <w:right w:val="nil"/>
            </w:tcBorders>
            <w:shd w:val="clear" w:color="auto" w:fill="auto"/>
            <w:noWrap/>
            <w:vAlign w:val="bottom"/>
            <w:hideMark/>
          </w:tcPr>
          <w:p w14:paraId="12B8E176" w14:textId="77777777" w:rsidR="00EA7128" w:rsidRDefault="00EA7128">
            <w:pPr>
              <w:rPr>
                <w:color w:val="000000"/>
                <w:sz w:val="22"/>
                <w:szCs w:val="22"/>
              </w:rPr>
            </w:pPr>
            <w:r>
              <w:rPr>
                <w:color w:val="000000"/>
                <w:sz w:val="22"/>
                <w:szCs w:val="22"/>
              </w:rPr>
              <w:t>Λοιπά άυλα</w:t>
            </w:r>
          </w:p>
        </w:tc>
        <w:tc>
          <w:tcPr>
            <w:tcW w:w="630" w:type="pct"/>
            <w:tcBorders>
              <w:top w:val="nil"/>
              <w:left w:val="nil"/>
              <w:bottom w:val="nil"/>
              <w:right w:val="nil"/>
            </w:tcBorders>
            <w:shd w:val="clear" w:color="auto" w:fill="auto"/>
            <w:noWrap/>
            <w:vAlign w:val="bottom"/>
            <w:hideMark/>
          </w:tcPr>
          <w:p w14:paraId="59AE2DA7" w14:textId="77777777" w:rsidR="00EA7128" w:rsidRDefault="00EA7128">
            <w:pPr>
              <w:jc w:val="center"/>
              <w:rPr>
                <w:color w:val="000000"/>
                <w:sz w:val="22"/>
                <w:szCs w:val="22"/>
              </w:rPr>
            </w:pPr>
            <w:r>
              <w:rPr>
                <w:color w:val="000000"/>
                <w:sz w:val="22"/>
                <w:szCs w:val="22"/>
              </w:rPr>
              <w:t>6.3</w:t>
            </w:r>
          </w:p>
        </w:tc>
        <w:tc>
          <w:tcPr>
            <w:tcW w:w="751" w:type="pct"/>
            <w:tcBorders>
              <w:top w:val="nil"/>
              <w:left w:val="single" w:sz="4" w:space="0" w:color="auto"/>
              <w:bottom w:val="nil"/>
              <w:right w:val="nil"/>
            </w:tcBorders>
            <w:shd w:val="clear" w:color="auto" w:fill="auto"/>
            <w:noWrap/>
            <w:vAlign w:val="bottom"/>
            <w:hideMark/>
          </w:tcPr>
          <w:p w14:paraId="0A1A4BF1" w14:textId="77777777" w:rsidR="00EA7128" w:rsidRDefault="00EA7128">
            <w:pPr>
              <w:jc w:val="right"/>
              <w:rPr>
                <w:sz w:val="22"/>
                <w:szCs w:val="22"/>
              </w:rPr>
            </w:pPr>
            <w:r>
              <w:rPr>
                <w:sz w:val="22"/>
                <w:szCs w:val="22"/>
              </w:rPr>
              <w:t>10.000,11</w:t>
            </w:r>
          </w:p>
        </w:tc>
        <w:tc>
          <w:tcPr>
            <w:tcW w:w="770" w:type="pct"/>
            <w:tcBorders>
              <w:top w:val="nil"/>
              <w:left w:val="single" w:sz="4" w:space="0" w:color="auto"/>
              <w:bottom w:val="nil"/>
              <w:right w:val="single" w:sz="4" w:space="0" w:color="auto"/>
            </w:tcBorders>
            <w:shd w:val="clear" w:color="auto" w:fill="auto"/>
            <w:noWrap/>
            <w:vAlign w:val="bottom"/>
            <w:hideMark/>
          </w:tcPr>
          <w:p w14:paraId="2DE02216" w14:textId="77777777" w:rsidR="00EA7128" w:rsidRDefault="00EA7128">
            <w:pPr>
              <w:jc w:val="right"/>
              <w:rPr>
                <w:color w:val="000000"/>
                <w:sz w:val="22"/>
                <w:szCs w:val="22"/>
              </w:rPr>
            </w:pPr>
            <w:r>
              <w:rPr>
                <w:color w:val="000000"/>
                <w:sz w:val="22"/>
                <w:szCs w:val="22"/>
              </w:rPr>
              <w:t>10.138,83</w:t>
            </w:r>
          </w:p>
        </w:tc>
      </w:tr>
      <w:tr w:rsidR="00EA7128" w14:paraId="305E162E" w14:textId="77777777" w:rsidTr="00EA7128">
        <w:trPr>
          <w:trHeight w:val="330"/>
        </w:trPr>
        <w:tc>
          <w:tcPr>
            <w:tcW w:w="148" w:type="pct"/>
            <w:tcBorders>
              <w:top w:val="nil"/>
              <w:left w:val="single" w:sz="4" w:space="0" w:color="auto"/>
              <w:bottom w:val="nil"/>
              <w:right w:val="nil"/>
            </w:tcBorders>
            <w:shd w:val="clear" w:color="auto" w:fill="auto"/>
            <w:noWrap/>
            <w:vAlign w:val="bottom"/>
            <w:hideMark/>
          </w:tcPr>
          <w:p w14:paraId="2F18FD05" w14:textId="77777777" w:rsidR="00EA7128" w:rsidRDefault="00EA7128">
            <w:pPr>
              <w:rPr>
                <w:sz w:val="22"/>
                <w:szCs w:val="22"/>
              </w:rPr>
            </w:pPr>
            <w:r>
              <w:rPr>
                <w:sz w:val="22"/>
                <w:szCs w:val="22"/>
              </w:rPr>
              <w:t> </w:t>
            </w:r>
          </w:p>
        </w:tc>
        <w:tc>
          <w:tcPr>
            <w:tcW w:w="146" w:type="pct"/>
            <w:tcBorders>
              <w:top w:val="nil"/>
              <w:left w:val="nil"/>
              <w:bottom w:val="nil"/>
              <w:right w:val="nil"/>
            </w:tcBorders>
            <w:shd w:val="clear" w:color="auto" w:fill="auto"/>
            <w:noWrap/>
            <w:vAlign w:val="bottom"/>
            <w:hideMark/>
          </w:tcPr>
          <w:p w14:paraId="6CAF849A" w14:textId="77777777" w:rsidR="00EA7128" w:rsidRDefault="00EA7128">
            <w:pPr>
              <w:rPr>
                <w:sz w:val="22"/>
                <w:szCs w:val="22"/>
              </w:rPr>
            </w:pPr>
          </w:p>
        </w:tc>
        <w:tc>
          <w:tcPr>
            <w:tcW w:w="2554" w:type="pct"/>
            <w:tcBorders>
              <w:top w:val="nil"/>
              <w:left w:val="nil"/>
              <w:bottom w:val="nil"/>
              <w:right w:val="nil"/>
            </w:tcBorders>
            <w:shd w:val="clear" w:color="auto" w:fill="auto"/>
            <w:noWrap/>
            <w:vAlign w:val="bottom"/>
            <w:hideMark/>
          </w:tcPr>
          <w:p w14:paraId="247EF558" w14:textId="77777777" w:rsidR="00EA7128" w:rsidRDefault="00EA7128">
            <w:pPr>
              <w:rPr>
                <w:b/>
                <w:bCs/>
                <w:i/>
                <w:iCs/>
                <w:color w:val="000000"/>
                <w:sz w:val="22"/>
                <w:szCs w:val="22"/>
              </w:rPr>
            </w:pPr>
            <w:r>
              <w:rPr>
                <w:b/>
                <w:bCs/>
                <w:i/>
                <w:iCs/>
                <w:color w:val="000000"/>
                <w:sz w:val="22"/>
                <w:szCs w:val="22"/>
              </w:rPr>
              <w:t>Σύνολο</w:t>
            </w:r>
          </w:p>
        </w:tc>
        <w:tc>
          <w:tcPr>
            <w:tcW w:w="630" w:type="pct"/>
            <w:tcBorders>
              <w:top w:val="nil"/>
              <w:left w:val="nil"/>
              <w:bottom w:val="nil"/>
              <w:right w:val="nil"/>
            </w:tcBorders>
            <w:shd w:val="clear" w:color="auto" w:fill="auto"/>
            <w:noWrap/>
            <w:vAlign w:val="bottom"/>
            <w:hideMark/>
          </w:tcPr>
          <w:p w14:paraId="3596EBF0" w14:textId="77777777" w:rsidR="00EA7128" w:rsidRDefault="00EA7128">
            <w:pPr>
              <w:rPr>
                <w:b/>
                <w:bCs/>
                <w:i/>
                <w:iCs/>
                <w:color w:val="000000"/>
                <w:sz w:val="22"/>
                <w:szCs w:val="22"/>
              </w:rPr>
            </w:pPr>
          </w:p>
        </w:tc>
        <w:tc>
          <w:tcPr>
            <w:tcW w:w="751" w:type="pct"/>
            <w:tcBorders>
              <w:top w:val="single" w:sz="4" w:space="0" w:color="auto"/>
              <w:left w:val="single" w:sz="4" w:space="0" w:color="auto"/>
              <w:bottom w:val="double" w:sz="6" w:space="0" w:color="auto"/>
              <w:right w:val="nil"/>
            </w:tcBorders>
            <w:shd w:val="clear" w:color="auto" w:fill="auto"/>
            <w:noWrap/>
            <w:vAlign w:val="bottom"/>
            <w:hideMark/>
          </w:tcPr>
          <w:p w14:paraId="79E62E26" w14:textId="77777777" w:rsidR="00EA7128" w:rsidRDefault="00EA7128">
            <w:pPr>
              <w:jc w:val="right"/>
              <w:rPr>
                <w:b/>
                <w:bCs/>
                <w:i/>
                <w:iCs/>
                <w:sz w:val="22"/>
                <w:szCs w:val="22"/>
              </w:rPr>
            </w:pPr>
            <w:r>
              <w:rPr>
                <w:b/>
                <w:bCs/>
                <w:i/>
                <w:iCs/>
                <w:sz w:val="22"/>
                <w:szCs w:val="22"/>
              </w:rPr>
              <w:t>10.000,11</w:t>
            </w:r>
          </w:p>
        </w:tc>
        <w:tc>
          <w:tcPr>
            <w:tcW w:w="770" w:type="pct"/>
            <w:tcBorders>
              <w:top w:val="single" w:sz="4" w:space="0" w:color="auto"/>
              <w:left w:val="single" w:sz="4" w:space="0" w:color="auto"/>
              <w:bottom w:val="double" w:sz="6" w:space="0" w:color="auto"/>
              <w:right w:val="single" w:sz="4" w:space="0" w:color="auto"/>
            </w:tcBorders>
            <w:shd w:val="clear" w:color="auto" w:fill="auto"/>
            <w:noWrap/>
            <w:vAlign w:val="bottom"/>
            <w:hideMark/>
          </w:tcPr>
          <w:p w14:paraId="0E857174" w14:textId="77777777" w:rsidR="00EA7128" w:rsidRDefault="00EA7128">
            <w:pPr>
              <w:jc w:val="right"/>
              <w:rPr>
                <w:b/>
                <w:bCs/>
                <w:i/>
                <w:iCs/>
                <w:color w:val="000000"/>
                <w:sz w:val="22"/>
                <w:szCs w:val="22"/>
              </w:rPr>
            </w:pPr>
            <w:r>
              <w:rPr>
                <w:b/>
                <w:bCs/>
                <w:i/>
                <w:iCs/>
                <w:color w:val="000000"/>
                <w:sz w:val="22"/>
                <w:szCs w:val="22"/>
              </w:rPr>
              <w:t>10.138,83</w:t>
            </w:r>
          </w:p>
        </w:tc>
      </w:tr>
      <w:tr w:rsidR="00EA7128" w14:paraId="75C63008" w14:textId="77777777" w:rsidTr="00EA7128">
        <w:trPr>
          <w:trHeight w:val="330"/>
        </w:trPr>
        <w:tc>
          <w:tcPr>
            <w:tcW w:w="148" w:type="pct"/>
            <w:tcBorders>
              <w:top w:val="nil"/>
              <w:left w:val="single" w:sz="4" w:space="0" w:color="auto"/>
              <w:bottom w:val="nil"/>
              <w:right w:val="nil"/>
            </w:tcBorders>
            <w:shd w:val="clear" w:color="auto" w:fill="auto"/>
            <w:noWrap/>
            <w:vAlign w:val="bottom"/>
            <w:hideMark/>
          </w:tcPr>
          <w:p w14:paraId="2485AE8A" w14:textId="77777777" w:rsidR="00EA7128" w:rsidRDefault="00EA7128">
            <w:pPr>
              <w:rPr>
                <w:sz w:val="22"/>
                <w:szCs w:val="22"/>
              </w:rPr>
            </w:pPr>
            <w:r>
              <w:rPr>
                <w:sz w:val="22"/>
                <w:szCs w:val="22"/>
              </w:rPr>
              <w:t> </w:t>
            </w:r>
          </w:p>
        </w:tc>
        <w:tc>
          <w:tcPr>
            <w:tcW w:w="2700" w:type="pct"/>
            <w:gridSpan w:val="2"/>
            <w:tcBorders>
              <w:top w:val="nil"/>
              <w:left w:val="nil"/>
              <w:bottom w:val="nil"/>
              <w:right w:val="nil"/>
            </w:tcBorders>
            <w:shd w:val="clear" w:color="auto" w:fill="auto"/>
            <w:noWrap/>
            <w:vAlign w:val="bottom"/>
            <w:hideMark/>
          </w:tcPr>
          <w:p w14:paraId="3785B714" w14:textId="77777777" w:rsidR="00EA7128" w:rsidRDefault="00EA7128">
            <w:pPr>
              <w:rPr>
                <w:b/>
                <w:bCs/>
                <w:i/>
                <w:iCs/>
                <w:color w:val="000000"/>
                <w:sz w:val="22"/>
                <w:szCs w:val="22"/>
              </w:rPr>
            </w:pPr>
            <w:r>
              <w:rPr>
                <w:b/>
                <w:bCs/>
                <w:i/>
                <w:iCs/>
                <w:color w:val="000000"/>
                <w:sz w:val="22"/>
                <w:szCs w:val="22"/>
              </w:rPr>
              <w:t>Χρηματοοικονομικά περιουσιακά στοιχεία</w:t>
            </w:r>
          </w:p>
        </w:tc>
        <w:tc>
          <w:tcPr>
            <w:tcW w:w="630" w:type="pct"/>
            <w:tcBorders>
              <w:top w:val="nil"/>
              <w:left w:val="nil"/>
              <w:bottom w:val="nil"/>
              <w:right w:val="nil"/>
            </w:tcBorders>
            <w:shd w:val="clear" w:color="auto" w:fill="auto"/>
            <w:noWrap/>
            <w:vAlign w:val="bottom"/>
            <w:hideMark/>
          </w:tcPr>
          <w:p w14:paraId="1FCD5707" w14:textId="77777777" w:rsidR="00EA7128" w:rsidRDefault="00EA7128">
            <w:pPr>
              <w:rPr>
                <w:b/>
                <w:bCs/>
                <w:i/>
                <w:iCs/>
                <w:color w:val="000000"/>
                <w:sz w:val="22"/>
                <w:szCs w:val="22"/>
              </w:rPr>
            </w:pPr>
          </w:p>
        </w:tc>
        <w:tc>
          <w:tcPr>
            <w:tcW w:w="751" w:type="pct"/>
            <w:tcBorders>
              <w:top w:val="nil"/>
              <w:left w:val="single" w:sz="4" w:space="0" w:color="auto"/>
              <w:bottom w:val="nil"/>
              <w:right w:val="nil"/>
            </w:tcBorders>
            <w:shd w:val="clear" w:color="auto" w:fill="auto"/>
            <w:noWrap/>
            <w:vAlign w:val="bottom"/>
            <w:hideMark/>
          </w:tcPr>
          <w:p w14:paraId="23907C70" w14:textId="77777777" w:rsidR="00EA7128" w:rsidRDefault="00EA7128">
            <w:pPr>
              <w:rPr>
                <w:sz w:val="22"/>
                <w:szCs w:val="22"/>
              </w:rPr>
            </w:pPr>
            <w:r>
              <w:rPr>
                <w:sz w:val="22"/>
                <w:szCs w:val="22"/>
              </w:rPr>
              <w:t> </w:t>
            </w:r>
          </w:p>
        </w:tc>
        <w:tc>
          <w:tcPr>
            <w:tcW w:w="770" w:type="pct"/>
            <w:tcBorders>
              <w:top w:val="nil"/>
              <w:left w:val="single" w:sz="4" w:space="0" w:color="auto"/>
              <w:bottom w:val="nil"/>
              <w:right w:val="single" w:sz="4" w:space="0" w:color="auto"/>
            </w:tcBorders>
            <w:shd w:val="clear" w:color="auto" w:fill="auto"/>
            <w:noWrap/>
            <w:vAlign w:val="bottom"/>
            <w:hideMark/>
          </w:tcPr>
          <w:p w14:paraId="7902A6CE" w14:textId="77777777" w:rsidR="00EA7128" w:rsidRDefault="00EA7128">
            <w:pPr>
              <w:rPr>
                <w:color w:val="000000"/>
                <w:sz w:val="22"/>
                <w:szCs w:val="22"/>
              </w:rPr>
            </w:pPr>
            <w:r>
              <w:rPr>
                <w:color w:val="000000"/>
                <w:sz w:val="22"/>
                <w:szCs w:val="22"/>
              </w:rPr>
              <w:t> </w:t>
            </w:r>
          </w:p>
        </w:tc>
      </w:tr>
      <w:tr w:rsidR="00EA7128" w14:paraId="364C671A" w14:textId="77777777" w:rsidTr="00EA7128">
        <w:trPr>
          <w:trHeight w:val="330"/>
        </w:trPr>
        <w:tc>
          <w:tcPr>
            <w:tcW w:w="148" w:type="pct"/>
            <w:tcBorders>
              <w:top w:val="nil"/>
              <w:left w:val="single" w:sz="4" w:space="0" w:color="auto"/>
              <w:bottom w:val="nil"/>
              <w:right w:val="nil"/>
            </w:tcBorders>
            <w:shd w:val="clear" w:color="auto" w:fill="auto"/>
            <w:noWrap/>
            <w:vAlign w:val="bottom"/>
            <w:hideMark/>
          </w:tcPr>
          <w:p w14:paraId="4F2DA535" w14:textId="77777777" w:rsidR="00EA7128" w:rsidRDefault="00EA7128">
            <w:pPr>
              <w:rPr>
                <w:sz w:val="22"/>
                <w:szCs w:val="22"/>
              </w:rPr>
            </w:pPr>
            <w:r>
              <w:rPr>
                <w:sz w:val="22"/>
                <w:szCs w:val="22"/>
              </w:rPr>
              <w:t> </w:t>
            </w:r>
          </w:p>
        </w:tc>
        <w:tc>
          <w:tcPr>
            <w:tcW w:w="146" w:type="pct"/>
            <w:tcBorders>
              <w:top w:val="nil"/>
              <w:left w:val="nil"/>
              <w:bottom w:val="nil"/>
              <w:right w:val="nil"/>
            </w:tcBorders>
            <w:shd w:val="clear" w:color="auto" w:fill="auto"/>
            <w:noWrap/>
            <w:vAlign w:val="bottom"/>
            <w:hideMark/>
          </w:tcPr>
          <w:p w14:paraId="2527B74D" w14:textId="77777777" w:rsidR="00EA7128" w:rsidRDefault="00EA7128">
            <w:pPr>
              <w:rPr>
                <w:sz w:val="22"/>
                <w:szCs w:val="22"/>
              </w:rPr>
            </w:pPr>
          </w:p>
        </w:tc>
        <w:tc>
          <w:tcPr>
            <w:tcW w:w="2554" w:type="pct"/>
            <w:tcBorders>
              <w:top w:val="nil"/>
              <w:left w:val="nil"/>
              <w:bottom w:val="nil"/>
              <w:right w:val="nil"/>
            </w:tcBorders>
            <w:shd w:val="clear" w:color="auto" w:fill="auto"/>
            <w:noWrap/>
            <w:vAlign w:val="bottom"/>
            <w:hideMark/>
          </w:tcPr>
          <w:p w14:paraId="7FAFBEAA" w14:textId="77777777" w:rsidR="00EA7128" w:rsidRDefault="00EA7128">
            <w:pPr>
              <w:rPr>
                <w:color w:val="000000"/>
                <w:sz w:val="22"/>
                <w:szCs w:val="22"/>
              </w:rPr>
            </w:pPr>
            <w:r>
              <w:rPr>
                <w:color w:val="000000"/>
                <w:sz w:val="22"/>
                <w:szCs w:val="22"/>
              </w:rPr>
              <w:t>Λοιπά</w:t>
            </w:r>
          </w:p>
        </w:tc>
        <w:tc>
          <w:tcPr>
            <w:tcW w:w="630" w:type="pct"/>
            <w:tcBorders>
              <w:top w:val="nil"/>
              <w:left w:val="nil"/>
              <w:bottom w:val="nil"/>
              <w:right w:val="nil"/>
            </w:tcBorders>
            <w:shd w:val="clear" w:color="auto" w:fill="auto"/>
            <w:noWrap/>
            <w:vAlign w:val="bottom"/>
            <w:hideMark/>
          </w:tcPr>
          <w:p w14:paraId="14327AB8" w14:textId="77777777" w:rsidR="00EA7128" w:rsidRDefault="00EA7128">
            <w:pPr>
              <w:rPr>
                <w:color w:val="000000"/>
                <w:sz w:val="22"/>
                <w:szCs w:val="22"/>
              </w:rPr>
            </w:pPr>
          </w:p>
        </w:tc>
        <w:tc>
          <w:tcPr>
            <w:tcW w:w="751" w:type="pct"/>
            <w:tcBorders>
              <w:top w:val="nil"/>
              <w:left w:val="single" w:sz="4" w:space="0" w:color="auto"/>
              <w:bottom w:val="nil"/>
              <w:right w:val="nil"/>
            </w:tcBorders>
            <w:shd w:val="clear" w:color="auto" w:fill="auto"/>
            <w:noWrap/>
            <w:vAlign w:val="bottom"/>
            <w:hideMark/>
          </w:tcPr>
          <w:p w14:paraId="6F9A9B2A" w14:textId="77777777" w:rsidR="00EA7128" w:rsidRDefault="00EA7128">
            <w:pPr>
              <w:jc w:val="right"/>
              <w:rPr>
                <w:sz w:val="22"/>
                <w:szCs w:val="22"/>
              </w:rPr>
            </w:pPr>
            <w:r>
              <w:rPr>
                <w:sz w:val="22"/>
                <w:szCs w:val="22"/>
              </w:rPr>
              <w:t>900,00</w:t>
            </w:r>
          </w:p>
        </w:tc>
        <w:tc>
          <w:tcPr>
            <w:tcW w:w="770" w:type="pct"/>
            <w:tcBorders>
              <w:top w:val="nil"/>
              <w:left w:val="single" w:sz="4" w:space="0" w:color="auto"/>
              <w:bottom w:val="nil"/>
              <w:right w:val="single" w:sz="4" w:space="0" w:color="auto"/>
            </w:tcBorders>
            <w:shd w:val="clear" w:color="auto" w:fill="auto"/>
            <w:noWrap/>
            <w:vAlign w:val="bottom"/>
            <w:hideMark/>
          </w:tcPr>
          <w:p w14:paraId="193F8E8D" w14:textId="77777777" w:rsidR="00EA7128" w:rsidRDefault="00EA7128">
            <w:pPr>
              <w:jc w:val="right"/>
              <w:rPr>
                <w:color w:val="000000"/>
                <w:sz w:val="22"/>
                <w:szCs w:val="22"/>
              </w:rPr>
            </w:pPr>
            <w:r>
              <w:rPr>
                <w:color w:val="000000"/>
                <w:sz w:val="22"/>
                <w:szCs w:val="22"/>
              </w:rPr>
              <w:t>900,00</w:t>
            </w:r>
          </w:p>
        </w:tc>
      </w:tr>
      <w:tr w:rsidR="00EA7128" w14:paraId="54B77E85" w14:textId="77777777" w:rsidTr="00EA7128">
        <w:trPr>
          <w:trHeight w:val="330"/>
        </w:trPr>
        <w:tc>
          <w:tcPr>
            <w:tcW w:w="148" w:type="pct"/>
            <w:tcBorders>
              <w:top w:val="nil"/>
              <w:left w:val="single" w:sz="4" w:space="0" w:color="auto"/>
              <w:bottom w:val="nil"/>
              <w:right w:val="nil"/>
            </w:tcBorders>
            <w:shd w:val="clear" w:color="auto" w:fill="auto"/>
            <w:noWrap/>
            <w:vAlign w:val="bottom"/>
            <w:hideMark/>
          </w:tcPr>
          <w:p w14:paraId="2C1C2CE9" w14:textId="77777777" w:rsidR="00EA7128" w:rsidRDefault="00EA7128">
            <w:pPr>
              <w:rPr>
                <w:sz w:val="22"/>
                <w:szCs w:val="22"/>
              </w:rPr>
            </w:pPr>
            <w:r>
              <w:rPr>
                <w:sz w:val="22"/>
                <w:szCs w:val="22"/>
              </w:rPr>
              <w:t> </w:t>
            </w:r>
          </w:p>
        </w:tc>
        <w:tc>
          <w:tcPr>
            <w:tcW w:w="146" w:type="pct"/>
            <w:tcBorders>
              <w:top w:val="nil"/>
              <w:left w:val="nil"/>
              <w:bottom w:val="nil"/>
              <w:right w:val="nil"/>
            </w:tcBorders>
            <w:shd w:val="clear" w:color="auto" w:fill="auto"/>
            <w:noWrap/>
            <w:vAlign w:val="bottom"/>
            <w:hideMark/>
          </w:tcPr>
          <w:p w14:paraId="4FF39FAA" w14:textId="77777777" w:rsidR="00EA7128" w:rsidRDefault="00EA7128">
            <w:pPr>
              <w:rPr>
                <w:sz w:val="22"/>
                <w:szCs w:val="22"/>
              </w:rPr>
            </w:pPr>
          </w:p>
        </w:tc>
        <w:tc>
          <w:tcPr>
            <w:tcW w:w="2554" w:type="pct"/>
            <w:tcBorders>
              <w:top w:val="nil"/>
              <w:left w:val="nil"/>
              <w:bottom w:val="nil"/>
              <w:right w:val="nil"/>
            </w:tcBorders>
            <w:shd w:val="clear" w:color="auto" w:fill="auto"/>
            <w:noWrap/>
            <w:vAlign w:val="bottom"/>
            <w:hideMark/>
          </w:tcPr>
          <w:p w14:paraId="50411F5D" w14:textId="77777777" w:rsidR="00EA7128" w:rsidRDefault="00EA7128">
            <w:pPr>
              <w:rPr>
                <w:b/>
                <w:bCs/>
                <w:i/>
                <w:iCs/>
                <w:color w:val="000000"/>
                <w:sz w:val="22"/>
                <w:szCs w:val="22"/>
              </w:rPr>
            </w:pPr>
            <w:r>
              <w:rPr>
                <w:b/>
                <w:bCs/>
                <w:i/>
                <w:iCs/>
                <w:color w:val="000000"/>
                <w:sz w:val="22"/>
                <w:szCs w:val="22"/>
              </w:rPr>
              <w:t>Σύνολο</w:t>
            </w:r>
          </w:p>
        </w:tc>
        <w:tc>
          <w:tcPr>
            <w:tcW w:w="630" w:type="pct"/>
            <w:tcBorders>
              <w:top w:val="nil"/>
              <w:left w:val="nil"/>
              <w:bottom w:val="nil"/>
              <w:right w:val="nil"/>
            </w:tcBorders>
            <w:shd w:val="clear" w:color="auto" w:fill="auto"/>
            <w:noWrap/>
            <w:vAlign w:val="bottom"/>
            <w:hideMark/>
          </w:tcPr>
          <w:p w14:paraId="6D5D0E1F" w14:textId="77777777" w:rsidR="00EA7128" w:rsidRDefault="00EA7128">
            <w:pPr>
              <w:rPr>
                <w:b/>
                <w:bCs/>
                <w:i/>
                <w:iCs/>
                <w:color w:val="000000"/>
                <w:sz w:val="22"/>
                <w:szCs w:val="22"/>
              </w:rPr>
            </w:pPr>
          </w:p>
        </w:tc>
        <w:tc>
          <w:tcPr>
            <w:tcW w:w="751" w:type="pct"/>
            <w:tcBorders>
              <w:top w:val="single" w:sz="4" w:space="0" w:color="auto"/>
              <w:left w:val="single" w:sz="4" w:space="0" w:color="auto"/>
              <w:bottom w:val="double" w:sz="6" w:space="0" w:color="auto"/>
              <w:right w:val="nil"/>
            </w:tcBorders>
            <w:shd w:val="clear" w:color="auto" w:fill="auto"/>
            <w:noWrap/>
            <w:vAlign w:val="bottom"/>
            <w:hideMark/>
          </w:tcPr>
          <w:p w14:paraId="25F3A536" w14:textId="77777777" w:rsidR="00EA7128" w:rsidRDefault="00EA7128">
            <w:pPr>
              <w:jc w:val="right"/>
              <w:rPr>
                <w:b/>
                <w:bCs/>
                <w:i/>
                <w:iCs/>
                <w:sz w:val="22"/>
                <w:szCs w:val="22"/>
              </w:rPr>
            </w:pPr>
            <w:r>
              <w:rPr>
                <w:b/>
                <w:bCs/>
                <w:i/>
                <w:iCs/>
                <w:sz w:val="22"/>
                <w:szCs w:val="22"/>
              </w:rPr>
              <w:t>900,00</w:t>
            </w:r>
          </w:p>
        </w:tc>
        <w:tc>
          <w:tcPr>
            <w:tcW w:w="770" w:type="pct"/>
            <w:tcBorders>
              <w:top w:val="single" w:sz="4" w:space="0" w:color="auto"/>
              <w:left w:val="single" w:sz="4" w:space="0" w:color="auto"/>
              <w:bottom w:val="double" w:sz="6" w:space="0" w:color="auto"/>
              <w:right w:val="single" w:sz="4" w:space="0" w:color="auto"/>
            </w:tcBorders>
            <w:shd w:val="clear" w:color="auto" w:fill="auto"/>
            <w:noWrap/>
            <w:vAlign w:val="bottom"/>
            <w:hideMark/>
          </w:tcPr>
          <w:p w14:paraId="0F15DC77" w14:textId="77777777" w:rsidR="00EA7128" w:rsidRDefault="00EA7128">
            <w:pPr>
              <w:jc w:val="right"/>
              <w:rPr>
                <w:b/>
                <w:bCs/>
                <w:i/>
                <w:iCs/>
                <w:color w:val="000000"/>
                <w:sz w:val="22"/>
                <w:szCs w:val="22"/>
              </w:rPr>
            </w:pPr>
            <w:r>
              <w:rPr>
                <w:b/>
                <w:bCs/>
                <w:i/>
                <w:iCs/>
                <w:color w:val="000000"/>
                <w:sz w:val="22"/>
                <w:szCs w:val="22"/>
              </w:rPr>
              <w:t>900,00</w:t>
            </w:r>
          </w:p>
        </w:tc>
      </w:tr>
      <w:tr w:rsidR="00EA7128" w14:paraId="5A37D227" w14:textId="77777777" w:rsidTr="00EA7128">
        <w:trPr>
          <w:trHeight w:val="330"/>
        </w:trPr>
        <w:tc>
          <w:tcPr>
            <w:tcW w:w="148" w:type="pct"/>
            <w:tcBorders>
              <w:top w:val="nil"/>
              <w:left w:val="single" w:sz="4" w:space="0" w:color="auto"/>
              <w:bottom w:val="nil"/>
              <w:right w:val="nil"/>
            </w:tcBorders>
            <w:shd w:val="clear" w:color="auto" w:fill="auto"/>
            <w:noWrap/>
            <w:vAlign w:val="bottom"/>
            <w:hideMark/>
          </w:tcPr>
          <w:p w14:paraId="1E7DA47D" w14:textId="77777777" w:rsidR="00EA7128" w:rsidRDefault="00EA7128">
            <w:pPr>
              <w:rPr>
                <w:sz w:val="22"/>
                <w:szCs w:val="22"/>
              </w:rPr>
            </w:pPr>
            <w:r>
              <w:rPr>
                <w:sz w:val="22"/>
                <w:szCs w:val="22"/>
              </w:rPr>
              <w:t> </w:t>
            </w:r>
          </w:p>
        </w:tc>
        <w:tc>
          <w:tcPr>
            <w:tcW w:w="2700" w:type="pct"/>
            <w:gridSpan w:val="2"/>
            <w:tcBorders>
              <w:top w:val="nil"/>
              <w:left w:val="nil"/>
              <w:bottom w:val="nil"/>
              <w:right w:val="nil"/>
            </w:tcBorders>
            <w:shd w:val="clear" w:color="auto" w:fill="auto"/>
            <w:noWrap/>
            <w:vAlign w:val="bottom"/>
            <w:hideMark/>
          </w:tcPr>
          <w:p w14:paraId="551BFFAA" w14:textId="77777777" w:rsidR="00EA7128" w:rsidRDefault="00EA7128">
            <w:pPr>
              <w:rPr>
                <w:b/>
                <w:bCs/>
                <w:color w:val="000000"/>
                <w:sz w:val="22"/>
                <w:szCs w:val="22"/>
              </w:rPr>
            </w:pPr>
            <w:r>
              <w:rPr>
                <w:b/>
                <w:bCs/>
                <w:color w:val="000000"/>
                <w:sz w:val="22"/>
                <w:szCs w:val="22"/>
              </w:rPr>
              <w:t>Σύνολο μη κυκλοφορούντων</w:t>
            </w:r>
          </w:p>
        </w:tc>
        <w:tc>
          <w:tcPr>
            <w:tcW w:w="630" w:type="pct"/>
            <w:tcBorders>
              <w:top w:val="nil"/>
              <w:left w:val="nil"/>
              <w:bottom w:val="nil"/>
              <w:right w:val="nil"/>
            </w:tcBorders>
            <w:shd w:val="clear" w:color="auto" w:fill="auto"/>
            <w:noWrap/>
            <w:vAlign w:val="bottom"/>
            <w:hideMark/>
          </w:tcPr>
          <w:p w14:paraId="2E2BF5B3" w14:textId="77777777" w:rsidR="00EA7128" w:rsidRDefault="00EA7128">
            <w:pPr>
              <w:rPr>
                <w:b/>
                <w:bCs/>
                <w:color w:val="000000"/>
                <w:sz w:val="22"/>
                <w:szCs w:val="22"/>
              </w:rPr>
            </w:pPr>
          </w:p>
        </w:tc>
        <w:tc>
          <w:tcPr>
            <w:tcW w:w="751" w:type="pct"/>
            <w:tcBorders>
              <w:top w:val="single" w:sz="4" w:space="0" w:color="auto"/>
              <w:left w:val="single" w:sz="4" w:space="0" w:color="auto"/>
              <w:bottom w:val="double" w:sz="6" w:space="0" w:color="auto"/>
              <w:right w:val="nil"/>
            </w:tcBorders>
            <w:shd w:val="clear" w:color="auto" w:fill="auto"/>
            <w:noWrap/>
            <w:vAlign w:val="bottom"/>
            <w:hideMark/>
          </w:tcPr>
          <w:p w14:paraId="677D9ECE" w14:textId="77777777" w:rsidR="00EA7128" w:rsidRDefault="00EA7128">
            <w:pPr>
              <w:jc w:val="right"/>
              <w:rPr>
                <w:b/>
                <w:bCs/>
                <w:sz w:val="22"/>
                <w:szCs w:val="22"/>
              </w:rPr>
            </w:pPr>
            <w:r>
              <w:rPr>
                <w:b/>
                <w:bCs/>
                <w:sz w:val="22"/>
                <w:szCs w:val="22"/>
              </w:rPr>
              <w:t>73.680,19</w:t>
            </w:r>
          </w:p>
        </w:tc>
        <w:tc>
          <w:tcPr>
            <w:tcW w:w="770" w:type="pct"/>
            <w:tcBorders>
              <w:top w:val="single" w:sz="4" w:space="0" w:color="auto"/>
              <w:left w:val="single" w:sz="4" w:space="0" w:color="auto"/>
              <w:bottom w:val="double" w:sz="6" w:space="0" w:color="auto"/>
              <w:right w:val="single" w:sz="4" w:space="0" w:color="auto"/>
            </w:tcBorders>
            <w:shd w:val="clear" w:color="auto" w:fill="auto"/>
            <w:noWrap/>
            <w:vAlign w:val="bottom"/>
            <w:hideMark/>
          </w:tcPr>
          <w:p w14:paraId="59422950" w14:textId="77777777" w:rsidR="00EA7128" w:rsidRDefault="00EA7128">
            <w:pPr>
              <w:jc w:val="right"/>
              <w:rPr>
                <w:b/>
                <w:bCs/>
                <w:color w:val="000000"/>
                <w:sz w:val="22"/>
                <w:szCs w:val="22"/>
              </w:rPr>
            </w:pPr>
            <w:r>
              <w:rPr>
                <w:b/>
                <w:bCs/>
                <w:color w:val="000000"/>
                <w:sz w:val="22"/>
                <w:szCs w:val="22"/>
              </w:rPr>
              <w:t>75.171,02</w:t>
            </w:r>
          </w:p>
        </w:tc>
      </w:tr>
      <w:tr w:rsidR="00EA7128" w14:paraId="2D9B0CF2" w14:textId="77777777" w:rsidTr="00EA7128">
        <w:trPr>
          <w:trHeight w:val="330"/>
        </w:trPr>
        <w:tc>
          <w:tcPr>
            <w:tcW w:w="2848" w:type="pct"/>
            <w:gridSpan w:val="3"/>
            <w:tcBorders>
              <w:top w:val="nil"/>
              <w:left w:val="single" w:sz="4" w:space="0" w:color="auto"/>
              <w:bottom w:val="nil"/>
              <w:right w:val="nil"/>
            </w:tcBorders>
            <w:shd w:val="clear" w:color="auto" w:fill="auto"/>
            <w:noWrap/>
            <w:vAlign w:val="bottom"/>
            <w:hideMark/>
          </w:tcPr>
          <w:p w14:paraId="2A86182F" w14:textId="77777777" w:rsidR="00EA7128" w:rsidRDefault="00EA7128">
            <w:pPr>
              <w:rPr>
                <w:b/>
                <w:bCs/>
                <w:color w:val="000000"/>
                <w:sz w:val="22"/>
                <w:szCs w:val="22"/>
              </w:rPr>
            </w:pPr>
            <w:r>
              <w:rPr>
                <w:b/>
                <w:bCs/>
                <w:color w:val="000000"/>
                <w:sz w:val="22"/>
                <w:szCs w:val="22"/>
              </w:rPr>
              <w:t>Κυκλοφορούντα περιουσιακά στοιχεία</w:t>
            </w:r>
          </w:p>
        </w:tc>
        <w:tc>
          <w:tcPr>
            <w:tcW w:w="630" w:type="pct"/>
            <w:tcBorders>
              <w:top w:val="nil"/>
              <w:left w:val="nil"/>
              <w:bottom w:val="nil"/>
              <w:right w:val="nil"/>
            </w:tcBorders>
            <w:shd w:val="clear" w:color="auto" w:fill="auto"/>
            <w:noWrap/>
            <w:vAlign w:val="bottom"/>
            <w:hideMark/>
          </w:tcPr>
          <w:p w14:paraId="755A79C5" w14:textId="77777777" w:rsidR="00EA7128" w:rsidRDefault="00EA7128">
            <w:pPr>
              <w:rPr>
                <w:b/>
                <w:bCs/>
                <w:color w:val="000000"/>
                <w:sz w:val="22"/>
                <w:szCs w:val="22"/>
              </w:rPr>
            </w:pPr>
          </w:p>
        </w:tc>
        <w:tc>
          <w:tcPr>
            <w:tcW w:w="751" w:type="pct"/>
            <w:tcBorders>
              <w:top w:val="nil"/>
              <w:left w:val="single" w:sz="4" w:space="0" w:color="auto"/>
              <w:bottom w:val="nil"/>
              <w:right w:val="nil"/>
            </w:tcBorders>
            <w:shd w:val="clear" w:color="auto" w:fill="auto"/>
            <w:noWrap/>
            <w:vAlign w:val="bottom"/>
            <w:hideMark/>
          </w:tcPr>
          <w:p w14:paraId="2AFE6B56" w14:textId="77777777" w:rsidR="00EA7128" w:rsidRDefault="00EA7128">
            <w:pPr>
              <w:rPr>
                <w:sz w:val="22"/>
                <w:szCs w:val="22"/>
              </w:rPr>
            </w:pPr>
            <w:r>
              <w:rPr>
                <w:sz w:val="22"/>
                <w:szCs w:val="22"/>
              </w:rPr>
              <w:t> </w:t>
            </w:r>
          </w:p>
        </w:tc>
        <w:tc>
          <w:tcPr>
            <w:tcW w:w="770" w:type="pct"/>
            <w:tcBorders>
              <w:top w:val="nil"/>
              <w:left w:val="single" w:sz="4" w:space="0" w:color="auto"/>
              <w:bottom w:val="nil"/>
              <w:right w:val="single" w:sz="4" w:space="0" w:color="auto"/>
            </w:tcBorders>
            <w:shd w:val="clear" w:color="auto" w:fill="auto"/>
            <w:noWrap/>
            <w:vAlign w:val="bottom"/>
            <w:hideMark/>
          </w:tcPr>
          <w:p w14:paraId="7D6883F3" w14:textId="77777777" w:rsidR="00EA7128" w:rsidRDefault="00EA7128">
            <w:pPr>
              <w:rPr>
                <w:color w:val="000000"/>
                <w:sz w:val="22"/>
                <w:szCs w:val="22"/>
              </w:rPr>
            </w:pPr>
            <w:r>
              <w:rPr>
                <w:color w:val="000000"/>
                <w:sz w:val="22"/>
                <w:szCs w:val="22"/>
              </w:rPr>
              <w:t> </w:t>
            </w:r>
          </w:p>
        </w:tc>
      </w:tr>
      <w:tr w:rsidR="00EA7128" w14:paraId="57BE5EC7" w14:textId="77777777" w:rsidTr="00EA7128">
        <w:trPr>
          <w:trHeight w:val="330"/>
        </w:trPr>
        <w:tc>
          <w:tcPr>
            <w:tcW w:w="148" w:type="pct"/>
            <w:tcBorders>
              <w:top w:val="nil"/>
              <w:left w:val="single" w:sz="4" w:space="0" w:color="auto"/>
              <w:bottom w:val="nil"/>
              <w:right w:val="nil"/>
            </w:tcBorders>
            <w:shd w:val="clear" w:color="auto" w:fill="auto"/>
            <w:noWrap/>
            <w:vAlign w:val="bottom"/>
            <w:hideMark/>
          </w:tcPr>
          <w:p w14:paraId="304C6992" w14:textId="77777777" w:rsidR="00EA7128" w:rsidRDefault="00EA7128">
            <w:pPr>
              <w:rPr>
                <w:sz w:val="22"/>
                <w:szCs w:val="22"/>
              </w:rPr>
            </w:pPr>
            <w:r>
              <w:rPr>
                <w:sz w:val="22"/>
                <w:szCs w:val="22"/>
              </w:rPr>
              <w:t> </w:t>
            </w:r>
          </w:p>
        </w:tc>
        <w:tc>
          <w:tcPr>
            <w:tcW w:w="2700" w:type="pct"/>
            <w:gridSpan w:val="2"/>
            <w:tcBorders>
              <w:top w:val="nil"/>
              <w:left w:val="nil"/>
              <w:bottom w:val="nil"/>
              <w:right w:val="nil"/>
            </w:tcBorders>
            <w:shd w:val="clear" w:color="auto" w:fill="auto"/>
            <w:noWrap/>
            <w:vAlign w:val="bottom"/>
            <w:hideMark/>
          </w:tcPr>
          <w:p w14:paraId="7E7ACEB7" w14:textId="77777777" w:rsidR="00EA7128" w:rsidRDefault="00EA7128">
            <w:pPr>
              <w:rPr>
                <w:b/>
                <w:bCs/>
                <w:i/>
                <w:iCs/>
                <w:color w:val="000000"/>
                <w:sz w:val="22"/>
                <w:szCs w:val="22"/>
              </w:rPr>
            </w:pPr>
            <w:r>
              <w:rPr>
                <w:b/>
                <w:bCs/>
                <w:i/>
                <w:iCs/>
                <w:color w:val="000000"/>
                <w:sz w:val="22"/>
                <w:szCs w:val="22"/>
              </w:rPr>
              <w:t>Χρηματοοικονομικά στοιχεία και προκαταβολές</w:t>
            </w:r>
          </w:p>
        </w:tc>
        <w:tc>
          <w:tcPr>
            <w:tcW w:w="630" w:type="pct"/>
            <w:tcBorders>
              <w:top w:val="nil"/>
              <w:left w:val="nil"/>
              <w:bottom w:val="nil"/>
              <w:right w:val="nil"/>
            </w:tcBorders>
            <w:shd w:val="clear" w:color="auto" w:fill="auto"/>
            <w:noWrap/>
            <w:vAlign w:val="bottom"/>
            <w:hideMark/>
          </w:tcPr>
          <w:p w14:paraId="48594A07" w14:textId="77777777" w:rsidR="00EA7128" w:rsidRDefault="00EA7128">
            <w:pPr>
              <w:rPr>
                <w:b/>
                <w:bCs/>
                <w:i/>
                <w:iCs/>
                <w:color w:val="000000"/>
                <w:sz w:val="22"/>
                <w:szCs w:val="22"/>
              </w:rPr>
            </w:pPr>
          </w:p>
        </w:tc>
        <w:tc>
          <w:tcPr>
            <w:tcW w:w="751" w:type="pct"/>
            <w:tcBorders>
              <w:top w:val="nil"/>
              <w:left w:val="single" w:sz="4" w:space="0" w:color="auto"/>
              <w:bottom w:val="nil"/>
              <w:right w:val="nil"/>
            </w:tcBorders>
            <w:shd w:val="clear" w:color="auto" w:fill="auto"/>
            <w:noWrap/>
            <w:vAlign w:val="bottom"/>
            <w:hideMark/>
          </w:tcPr>
          <w:p w14:paraId="2479B8A6" w14:textId="77777777" w:rsidR="00EA7128" w:rsidRDefault="00EA7128">
            <w:pPr>
              <w:rPr>
                <w:sz w:val="22"/>
                <w:szCs w:val="22"/>
              </w:rPr>
            </w:pPr>
            <w:r>
              <w:rPr>
                <w:sz w:val="22"/>
                <w:szCs w:val="22"/>
              </w:rPr>
              <w:t> </w:t>
            </w:r>
          </w:p>
        </w:tc>
        <w:tc>
          <w:tcPr>
            <w:tcW w:w="770" w:type="pct"/>
            <w:tcBorders>
              <w:top w:val="nil"/>
              <w:left w:val="single" w:sz="4" w:space="0" w:color="auto"/>
              <w:bottom w:val="nil"/>
              <w:right w:val="single" w:sz="4" w:space="0" w:color="auto"/>
            </w:tcBorders>
            <w:shd w:val="clear" w:color="auto" w:fill="auto"/>
            <w:noWrap/>
            <w:vAlign w:val="bottom"/>
            <w:hideMark/>
          </w:tcPr>
          <w:p w14:paraId="6CAD846E" w14:textId="77777777" w:rsidR="00EA7128" w:rsidRDefault="00EA7128">
            <w:pPr>
              <w:rPr>
                <w:color w:val="000000"/>
                <w:sz w:val="22"/>
                <w:szCs w:val="22"/>
              </w:rPr>
            </w:pPr>
            <w:r>
              <w:rPr>
                <w:color w:val="000000"/>
                <w:sz w:val="22"/>
                <w:szCs w:val="22"/>
              </w:rPr>
              <w:t> </w:t>
            </w:r>
          </w:p>
        </w:tc>
      </w:tr>
      <w:tr w:rsidR="00EA7128" w14:paraId="150F40B8" w14:textId="77777777" w:rsidTr="00EA7128">
        <w:trPr>
          <w:trHeight w:val="330"/>
        </w:trPr>
        <w:tc>
          <w:tcPr>
            <w:tcW w:w="148" w:type="pct"/>
            <w:tcBorders>
              <w:top w:val="nil"/>
              <w:left w:val="single" w:sz="4" w:space="0" w:color="auto"/>
              <w:bottom w:val="nil"/>
              <w:right w:val="nil"/>
            </w:tcBorders>
            <w:shd w:val="clear" w:color="auto" w:fill="auto"/>
            <w:noWrap/>
            <w:vAlign w:val="bottom"/>
            <w:hideMark/>
          </w:tcPr>
          <w:p w14:paraId="3D46EB02" w14:textId="77777777" w:rsidR="00EA7128" w:rsidRDefault="00EA7128">
            <w:pPr>
              <w:rPr>
                <w:sz w:val="22"/>
                <w:szCs w:val="22"/>
              </w:rPr>
            </w:pPr>
            <w:r>
              <w:rPr>
                <w:sz w:val="22"/>
                <w:szCs w:val="22"/>
              </w:rPr>
              <w:t> </w:t>
            </w:r>
          </w:p>
        </w:tc>
        <w:tc>
          <w:tcPr>
            <w:tcW w:w="146" w:type="pct"/>
            <w:tcBorders>
              <w:top w:val="nil"/>
              <w:left w:val="nil"/>
              <w:bottom w:val="nil"/>
              <w:right w:val="nil"/>
            </w:tcBorders>
            <w:shd w:val="clear" w:color="auto" w:fill="auto"/>
            <w:noWrap/>
            <w:vAlign w:val="bottom"/>
            <w:hideMark/>
          </w:tcPr>
          <w:p w14:paraId="64B28916" w14:textId="77777777" w:rsidR="00EA7128" w:rsidRDefault="00EA7128">
            <w:pPr>
              <w:rPr>
                <w:sz w:val="22"/>
                <w:szCs w:val="22"/>
              </w:rPr>
            </w:pPr>
          </w:p>
        </w:tc>
        <w:tc>
          <w:tcPr>
            <w:tcW w:w="2554" w:type="pct"/>
            <w:tcBorders>
              <w:top w:val="nil"/>
              <w:left w:val="nil"/>
              <w:bottom w:val="nil"/>
              <w:right w:val="nil"/>
            </w:tcBorders>
            <w:shd w:val="clear" w:color="auto" w:fill="auto"/>
            <w:noWrap/>
            <w:vAlign w:val="bottom"/>
            <w:hideMark/>
          </w:tcPr>
          <w:p w14:paraId="3041F745" w14:textId="77777777" w:rsidR="00EA7128" w:rsidRDefault="00EA7128">
            <w:pPr>
              <w:rPr>
                <w:color w:val="000000"/>
                <w:sz w:val="22"/>
                <w:szCs w:val="22"/>
              </w:rPr>
            </w:pPr>
            <w:r>
              <w:rPr>
                <w:color w:val="000000"/>
                <w:sz w:val="22"/>
                <w:szCs w:val="22"/>
              </w:rPr>
              <w:t>Εμπορικές απαιτήσεις</w:t>
            </w:r>
          </w:p>
        </w:tc>
        <w:tc>
          <w:tcPr>
            <w:tcW w:w="630" w:type="pct"/>
            <w:tcBorders>
              <w:top w:val="nil"/>
              <w:left w:val="nil"/>
              <w:bottom w:val="nil"/>
              <w:right w:val="nil"/>
            </w:tcBorders>
            <w:shd w:val="clear" w:color="auto" w:fill="auto"/>
            <w:noWrap/>
            <w:vAlign w:val="bottom"/>
            <w:hideMark/>
          </w:tcPr>
          <w:p w14:paraId="6DB7E995" w14:textId="77777777" w:rsidR="00EA7128" w:rsidRDefault="00EA7128">
            <w:pPr>
              <w:jc w:val="center"/>
              <w:rPr>
                <w:color w:val="000000"/>
                <w:sz w:val="22"/>
                <w:szCs w:val="22"/>
              </w:rPr>
            </w:pPr>
            <w:r>
              <w:rPr>
                <w:color w:val="000000"/>
                <w:sz w:val="22"/>
                <w:szCs w:val="22"/>
              </w:rPr>
              <w:t>7.2.1</w:t>
            </w:r>
          </w:p>
        </w:tc>
        <w:tc>
          <w:tcPr>
            <w:tcW w:w="751" w:type="pct"/>
            <w:tcBorders>
              <w:top w:val="nil"/>
              <w:left w:val="single" w:sz="4" w:space="0" w:color="auto"/>
              <w:bottom w:val="nil"/>
              <w:right w:val="nil"/>
            </w:tcBorders>
            <w:shd w:val="clear" w:color="auto" w:fill="auto"/>
            <w:noWrap/>
            <w:vAlign w:val="bottom"/>
            <w:hideMark/>
          </w:tcPr>
          <w:p w14:paraId="4388D8F6" w14:textId="77777777" w:rsidR="00EA7128" w:rsidRDefault="00EA7128">
            <w:pPr>
              <w:jc w:val="right"/>
              <w:rPr>
                <w:sz w:val="22"/>
                <w:szCs w:val="22"/>
              </w:rPr>
            </w:pPr>
            <w:r>
              <w:rPr>
                <w:sz w:val="22"/>
                <w:szCs w:val="22"/>
              </w:rPr>
              <w:t>124,00</w:t>
            </w:r>
          </w:p>
        </w:tc>
        <w:tc>
          <w:tcPr>
            <w:tcW w:w="770" w:type="pct"/>
            <w:tcBorders>
              <w:top w:val="nil"/>
              <w:left w:val="single" w:sz="4" w:space="0" w:color="auto"/>
              <w:bottom w:val="nil"/>
              <w:right w:val="single" w:sz="4" w:space="0" w:color="auto"/>
            </w:tcBorders>
            <w:shd w:val="clear" w:color="auto" w:fill="auto"/>
            <w:noWrap/>
            <w:vAlign w:val="bottom"/>
            <w:hideMark/>
          </w:tcPr>
          <w:p w14:paraId="73F83B7E" w14:textId="77777777" w:rsidR="00EA7128" w:rsidRDefault="00EA7128">
            <w:pPr>
              <w:jc w:val="right"/>
              <w:rPr>
                <w:color w:val="000000"/>
                <w:sz w:val="22"/>
                <w:szCs w:val="22"/>
              </w:rPr>
            </w:pPr>
            <w:r>
              <w:rPr>
                <w:color w:val="000000"/>
                <w:sz w:val="22"/>
                <w:szCs w:val="22"/>
              </w:rPr>
              <w:t>248,00</w:t>
            </w:r>
          </w:p>
        </w:tc>
      </w:tr>
      <w:tr w:rsidR="00EA7128" w14:paraId="13242D2F" w14:textId="77777777" w:rsidTr="00EA7128">
        <w:trPr>
          <w:trHeight w:val="330"/>
        </w:trPr>
        <w:tc>
          <w:tcPr>
            <w:tcW w:w="148" w:type="pct"/>
            <w:tcBorders>
              <w:top w:val="nil"/>
              <w:left w:val="single" w:sz="4" w:space="0" w:color="auto"/>
              <w:bottom w:val="nil"/>
              <w:right w:val="nil"/>
            </w:tcBorders>
            <w:shd w:val="clear" w:color="auto" w:fill="auto"/>
            <w:noWrap/>
            <w:vAlign w:val="bottom"/>
            <w:hideMark/>
          </w:tcPr>
          <w:p w14:paraId="053294B6" w14:textId="77777777" w:rsidR="00EA7128" w:rsidRDefault="00EA7128">
            <w:pPr>
              <w:rPr>
                <w:sz w:val="22"/>
                <w:szCs w:val="22"/>
              </w:rPr>
            </w:pPr>
            <w:r>
              <w:rPr>
                <w:sz w:val="22"/>
                <w:szCs w:val="22"/>
              </w:rPr>
              <w:t> </w:t>
            </w:r>
          </w:p>
        </w:tc>
        <w:tc>
          <w:tcPr>
            <w:tcW w:w="146" w:type="pct"/>
            <w:tcBorders>
              <w:top w:val="nil"/>
              <w:left w:val="nil"/>
              <w:bottom w:val="nil"/>
              <w:right w:val="nil"/>
            </w:tcBorders>
            <w:shd w:val="clear" w:color="auto" w:fill="auto"/>
            <w:noWrap/>
            <w:vAlign w:val="bottom"/>
            <w:hideMark/>
          </w:tcPr>
          <w:p w14:paraId="007FB0A2" w14:textId="77777777" w:rsidR="00EA7128" w:rsidRDefault="00EA7128">
            <w:pPr>
              <w:rPr>
                <w:sz w:val="22"/>
                <w:szCs w:val="22"/>
              </w:rPr>
            </w:pPr>
          </w:p>
        </w:tc>
        <w:tc>
          <w:tcPr>
            <w:tcW w:w="2554" w:type="pct"/>
            <w:tcBorders>
              <w:top w:val="nil"/>
              <w:left w:val="nil"/>
              <w:bottom w:val="nil"/>
              <w:right w:val="nil"/>
            </w:tcBorders>
            <w:shd w:val="clear" w:color="auto" w:fill="auto"/>
            <w:noWrap/>
            <w:vAlign w:val="bottom"/>
            <w:hideMark/>
          </w:tcPr>
          <w:p w14:paraId="3DA7F844" w14:textId="77777777" w:rsidR="00EA7128" w:rsidRDefault="00EA7128">
            <w:pPr>
              <w:rPr>
                <w:color w:val="000000"/>
                <w:sz w:val="22"/>
                <w:szCs w:val="22"/>
              </w:rPr>
            </w:pPr>
            <w:r>
              <w:rPr>
                <w:color w:val="000000"/>
                <w:sz w:val="22"/>
                <w:szCs w:val="22"/>
              </w:rPr>
              <w:t>Λοιπές απαιτήσεις</w:t>
            </w:r>
          </w:p>
        </w:tc>
        <w:tc>
          <w:tcPr>
            <w:tcW w:w="630" w:type="pct"/>
            <w:tcBorders>
              <w:top w:val="nil"/>
              <w:left w:val="nil"/>
              <w:bottom w:val="nil"/>
              <w:right w:val="nil"/>
            </w:tcBorders>
            <w:shd w:val="clear" w:color="auto" w:fill="auto"/>
            <w:noWrap/>
            <w:vAlign w:val="bottom"/>
            <w:hideMark/>
          </w:tcPr>
          <w:p w14:paraId="6FEC1222" w14:textId="77777777" w:rsidR="00EA7128" w:rsidRDefault="00EA7128">
            <w:pPr>
              <w:jc w:val="center"/>
              <w:rPr>
                <w:color w:val="000000"/>
                <w:sz w:val="22"/>
                <w:szCs w:val="22"/>
              </w:rPr>
            </w:pPr>
            <w:r>
              <w:rPr>
                <w:color w:val="000000"/>
                <w:sz w:val="22"/>
                <w:szCs w:val="22"/>
              </w:rPr>
              <w:t>7.2.2</w:t>
            </w:r>
          </w:p>
        </w:tc>
        <w:tc>
          <w:tcPr>
            <w:tcW w:w="751" w:type="pct"/>
            <w:tcBorders>
              <w:top w:val="nil"/>
              <w:left w:val="single" w:sz="4" w:space="0" w:color="auto"/>
              <w:bottom w:val="nil"/>
              <w:right w:val="nil"/>
            </w:tcBorders>
            <w:shd w:val="clear" w:color="auto" w:fill="auto"/>
            <w:noWrap/>
            <w:vAlign w:val="bottom"/>
            <w:hideMark/>
          </w:tcPr>
          <w:p w14:paraId="4E8087F4" w14:textId="77777777" w:rsidR="00EA7128" w:rsidRDefault="00EA7128">
            <w:pPr>
              <w:jc w:val="right"/>
              <w:rPr>
                <w:sz w:val="22"/>
                <w:szCs w:val="22"/>
              </w:rPr>
            </w:pPr>
            <w:r>
              <w:rPr>
                <w:sz w:val="22"/>
                <w:szCs w:val="22"/>
              </w:rPr>
              <w:t>34.825,41</w:t>
            </w:r>
          </w:p>
        </w:tc>
        <w:tc>
          <w:tcPr>
            <w:tcW w:w="770" w:type="pct"/>
            <w:tcBorders>
              <w:top w:val="nil"/>
              <w:left w:val="single" w:sz="4" w:space="0" w:color="auto"/>
              <w:bottom w:val="nil"/>
              <w:right w:val="single" w:sz="4" w:space="0" w:color="auto"/>
            </w:tcBorders>
            <w:shd w:val="clear" w:color="auto" w:fill="auto"/>
            <w:noWrap/>
            <w:vAlign w:val="bottom"/>
            <w:hideMark/>
          </w:tcPr>
          <w:p w14:paraId="33EC812B" w14:textId="77777777" w:rsidR="00EA7128" w:rsidRDefault="00EA7128">
            <w:pPr>
              <w:jc w:val="right"/>
              <w:rPr>
                <w:color w:val="000000"/>
                <w:sz w:val="22"/>
                <w:szCs w:val="22"/>
              </w:rPr>
            </w:pPr>
            <w:r>
              <w:rPr>
                <w:color w:val="000000"/>
                <w:sz w:val="22"/>
                <w:szCs w:val="22"/>
              </w:rPr>
              <w:t>35.927,56</w:t>
            </w:r>
          </w:p>
        </w:tc>
      </w:tr>
      <w:tr w:rsidR="00EA7128" w14:paraId="2E3F773E" w14:textId="77777777" w:rsidTr="00EA7128">
        <w:trPr>
          <w:trHeight w:val="330"/>
        </w:trPr>
        <w:tc>
          <w:tcPr>
            <w:tcW w:w="148" w:type="pct"/>
            <w:tcBorders>
              <w:top w:val="nil"/>
              <w:left w:val="single" w:sz="4" w:space="0" w:color="auto"/>
              <w:bottom w:val="nil"/>
              <w:right w:val="nil"/>
            </w:tcBorders>
            <w:shd w:val="clear" w:color="auto" w:fill="auto"/>
            <w:noWrap/>
            <w:vAlign w:val="bottom"/>
            <w:hideMark/>
          </w:tcPr>
          <w:p w14:paraId="6DE62064" w14:textId="77777777" w:rsidR="00EA7128" w:rsidRDefault="00EA7128">
            <w:pPr>
              <w:rPr>
                <w:sz w:val="22"/>
                <w:szCs w:val="22"/>
              </w:rPr>
            </w:pPr>
            <w:r>
              <w:rPr>
                <w:sz w:val="22"/>
                <w:szCs w:val="22"/>
              </w:rPr>
              <w:t> </w:t>
            </w:r>
          </w:p>
        </w:tc>
        <w:tc>
          <w:tcPr>
            <w:tcW w:w="146" w:type="pct"/>
            <w:tcBorders>
              <w:top w:val="nil"/>
              <w:left w:val="nil"/>
              <w:bottom w:val="nil"/>
              <w:right w:val="nil"/>
            </w:tcBorders>
            <w:shd w:val="clear" w:color="auto" w:fill="auto"/>
            <w:noWrap/>
            <w:vAlign w:val="bottom"/>
            <w:hideMark/>
          </w:tcPr>
          <w:p w14:paraId="30757EA3" w14:textId="77777777" w:rsidR="00EA7128" w:rsidRDefault="00EA7128">
            <w:pPr>
              <w:rPr>
                <w:sz w:val="22"/>
                <w:szCs w:val="22"/>
              </w:rPr>
            </w:pPr>
          </w:p>
        </w:tc>
        <w:tc>
          <w:tcPr>
            <w:tcW w:w="2554" w:type="pct"/>
            <w:tcBorders>
              <w:top w:val="nil"/>
              <w:left w:val="nil"/>
              <w:bottom w:val="nil"/>
              <w:right w:val="nil"/>
            </w:tcBorders>
            <w:shd w:val="clear" w:color="auto" w:fill="auto"/>
            <w:noWrap/>
            <w:vAlign w:val="bottom"/>
            <w:hideMark/>
          </w:tcPr>
          <w:p w14:paraId="2687F2AE" w14:textId="77777777" w:rsidR="00EA7128" w:rsidRDefault="00EA7128">
            <w:pPr>
              <w:rPr>
                <w:color w:val="000000"/>
                <w:sz w:val="22"/>
                <w:szCs w:val="22"/>
              </w:rPr>
            </w:pPr>
            <w:r>
              <w:rPr>
                <w:color w:val="000000"/>
                <w:sz w:val="22"/>
                <w:szCs w:val="22"/>
              </w:rPr>
              <w:t>Προπληρωμένα έξοδα</w:t>
            </w:r>
          </w:p>
        </w:tc>
        <w:tc>
          <w:tcPr>
            <w:tcW w:w="630" w:type="pct"/>
            <w:tcBorders>
              <w:top w:val="nil"/>
              <w:left w:val="nil"/>
              <w:bottom w:val="nil"/>
              <w:right w:val="nil"/>
            </w:tcBorders>
            <w:shd w:val="clear" w:color="auto" w:fill="auto"/>
            <w:noWrap/>
            <w:vAlign w:val="bottom"/>
            <w:hideMark/>
          </w:tcPr>
          <w:p w14:paraId="4875D148" w14:textId="77777777" w:rsidR="00EA7128" w:rsidRDefault="00EA7128">
            <w:pPr>
              <w:rPr>
                <w:color w:val="000000"/>
                <w:sz w:val="22"/>
                <w:szCs w:val="22"/>
              </w:rPr>
            </w:pPr>
          </w:p>
        </w:tc>
        <w:tc>
          <w:tcPr>
            <w:tcW w:w="751" w:type="pct"/>
            <w:tcBorders>
              <w:top w:val="nil"/>
              <w:left w:val="single" w:sz="4" w:space="0" w:color="auto"/>
              <w:bottom w:val="nil"/>
              <w:right w:val="nil"/>
            </w:tcBorders>
            <w:shd w:val="clear" w:color="auto" w:fill="auto"/>
            <w:noWrap/>
            <w:vAlign w:val="bottom"/>
            <w:hideMark/>
          </w:tcPr>
          <w:p w14:paraId="6AEA895A" w14:textId="77777777" w:rsidR="00EA7128" w:rsidRDefault="00EA7128">
            <w:pPr>
              <w:jc w:val="right"/>
              <w:rPr>
                <w:sz w:val="22"/>
                <w:szCs w:val="22"/>
              </w:rPr>
            </w:pPr>
            <w:r>
              <w:rPr>
                <w:sz w:val="22"/>
                <w:szCs w:val="22"/>
              </w:rPr>
              <w:t>50,00</w:t>
            </w:r>
          </w:p>
        </w:tc>
        <w:tc>
          <w:tcPr>
            <w:tcW w:w="770" w:type="pct"/>
            <w:tcBorders>
              <w:top w:val="nil"/>
              <w:left w:val="single" w:sz="4" w:space="0" w:color="auto"/>
              <w:bottom w:val="nil"/>
              <w:right w:val="single" w:sz="4" w:space="0" w:color="auto"/>
            </w:tcBorders>
            <w:shd w:val="clear" w:color="auto" w:fill="auto"/>
            <w:noWrap/>
            <w:vAlign w:val="bottom"/>
            <w:hideMark/>
          </w:tcPr>
          <w:p w14:paraId="42A42580" w14:textId="77777777" w:rsidR="00EA7128" w:rsidRDefault="00EA7128">
            <w:pPr>
              <w:jc w:val="right"/>
              <w:rPr>
                <w:color w:val="000000"/>
                <w:sz w:val="22"/>
                <w:szCs w:val="22"/>
              </w:rPr>
            </w:pPr>
            <w:r>
              <w:rPr>
                <w:color w:val="000000"/>
                <w:sz w:val="22"/>
                <w:szCs w:val="22"/>
              </w:rPr>
              <w:t>0,00</w:t>
            </w:r>
          </w:p>
        </w:tc>
      </w:tr>
      <w:tr w:rsidR="00EA7128" w14:paraId="206010C6" w14:textId="77777777" w:rsidTr="00EA7128">
        <w:trPr>
          <w:trHeight w:val="330"/>
        </w:trPr>
        <w:tc>
          <w:tcPr>
            <w:tcW w:w="148" w:type="pct"/>
            <w:tcBorders>
              <w:top w:val="nil"/>
              <w:left w:val="single" w:sz="4" w:space="0" w:color="auto"/>
              <w:bottom w:val="nil"/>
              <w:right w:val="nil"/>
            </w:tcBorders>
            <w:shd w:val="clear" w:color="auto" w:fill="auto"/>
            <w:noWrap/>
            <w:vAlign w:val="bottom"/>
            <w:hideMark/>
          </w:tcPr>
          <w:p w14:paraId="53CE53E6" w14:textId="77777777" w:rsidR="00EA7128" w:rsidRDefault="00EA7128">
            <w:pPr>
              <w:rPr>
                <w:sz w:val="22"/>
                <w:szCs w:val="22"/>
              </w:rPr>
            </w:pPr>
            <w:r>
              <w:rPr>
                <w:sz w:val="22"/>
                <w:szCs w:val="22"/>
              </w:rPr>
              <w:t> </w:t>
            </w:r>
          </w:p>
        </w:tc>
        <w:tc>
          <w:tcPr>
            <w:tcW w:w="146" w:type="pct"/>
            <w:tcBorders>
              <w:top w:val="nil"/>
              <w:left w:val="nil"/>
              <w:bottom w:val="nil"/>
              <w:right w:val="nil"/>
            </w:tcBorders>
            <w:shd w:val="clear" w:color="auto" w:fill="auto"/>
            <w:noWrap/>
            <w:vAlign w:val="bottom"/>
            <w:hideMark/>
          </w:tcPr>
          <w:p w14:paraId="2D75783F" w14:textId="77777777" w:rsidR="00EA7128" w:rsidRDefault="00EA7128">
            <w:pPr>
              <w:rPr>
                <w:sz w:val="22"/>
                <w:szCs w:val="22"/>
              </w:rPr>
            </w:pPr>
          </w:p>
        </w:tc>
        <w:tc>
          <w:tcPr>
            <w:tcW w:w="2554" w:type="pct"/>
            <w:tcBorders>
              <w:top w:val="nil"/>
              <w:left w:val="nil"/>
              <w:bottom w:val="nil"/>
              <w:right w:val="nil"/>
            </w:tcBorders>
            <w:shd w:val="clear" w:color="auto" w:fill="auto"/>
            <w:noWrap/>
            <w:vAlign w:val="bottom"/>
            <w:hideMark/>
          </w:tcPr>
          <w:p w14:paraId="0E92CCA0" w14:textId="77777777" w:rsidR="00EA7128" w:rsidRDefault="00EA7128">
            <w:pPr>
              <w:rPr>
                <w:color w:val="000000"/>
                <w:sz w:val="22"/>
                <w:szCs w:val="22"/>
              </w:rPr>
            </w:pPr>
            <w:r>
              <w:rPr>
                <w:color w:val="000000"/>
                <w:sz w:val="22"/>
                <w:szCs w:val="22"/>
              </w:rPr>
              <w:t>Ταμειακά διαθέσιμα και ισοδύναμα</w:t>
            </w:r>
          </w:p>
        </w:tc>
        <w:tc>
          <w:tcPr>
            <w:tcW w:w="630" w:type="pct"/>
            <w:tcBorders>
              <w:top w:val="nil"/>
              <w:left w:val="nil"/>
              <w:bottom w:val="nil"/>
              <w:right w:val="nil"/>
            </w:tcBorders>
            <w:shd w:val="clear" w:color="auto" w:fill="auto"/>
            <w:noWrap/>
            <w:vAlign w:val="bottom"/>
            <w:hideMark/>
          </w:tcPr>
          <w:p w14:paraId="30C0D165" w14:textId="77777777" w:rsidR="00EA7128" w:rsidRDefault="00EA7128">
            <w:pPr>
              <w:jc w:val="center"/>
              <w:rPr>
                <w:color w:val="000000"/>
                <w:sz w:val="22"/>
                <w:szCs w:val="22"/>
              </w:rPr>
            </w:pPr>
            <w:r>
              <w:rPr>
                <w:color w:val="000000"/>
                <w:sz w:val="22"/>
                <w:szCs w:val="22"/>
              </w:rPr>
              <w:t>7.2.3</w:t>
            </w:r>
          </w:p>
        </w:tc>
        <w:tc>
          <w:tcPr>
            <w:tcW w:w="751" w:type="pct"/>
            <w:tcBorders>
              <w:top w:val="nil"/>
              <w:left w:val="single" w:sz="4" w:space="0" w:color="auto"/>
              <w:bottom w:val="nil"/>
              <w:right w:val="nil"/>
            </w:tcBorders>
            <w:shd w:val="clear" w:color="auto" w:fill="auto"/>
            <w:noWrap/>
            <w:vAlign w:val="bottom"/>
            <w:hideMark/>
          </w:tcPr>
          <w:p w14:paraId="702DDD2A" w14:textId="77777777" w:rsidR="00EA7128" w:rsidRDefault="00EA7128">
            <w:pPr>
              <w:jc w:val="right"/>
              <w:rPr>
                <w:sz w:val="22"/>
                <w:szCs w:val="22"/>
              </w:rPr>
            </w:pPr>
            <w:r>
              <w:rPr>
                <w:sz w:val="22"/>
                <w:szCs w:val="22"/>
              </w:rPr>
              <w:t>6.258,12</w:t>
            </w:r>
          </w:p>
        </w:tc>
        <w:tc>
          <w:tcPr>
            <w:tcW w:w="770" w:type="pct"/>
            <w:tcBorders>
              <w:top w:val="nil"/>
              <w:left w:val="single" w:sz="4" w:space="0" w:color="auto"/>
              <w:bottom w:val="nil"/>
              <w:right w:val="single" w:sz="4" w:space="0" w:color="auto"/>
            </w:tcBorders>
            <w:shd w:val="clear" w:color="auto" w:fill="auto"/>
            <w:noWrap/>
            <w:vAlign w:val="bottom"/>
            <w:hideMark/>
          </w:tcPr>
          <w:p w14:paraId="2A8A8D6B" w14:textId="77777777" w:rsidR="00EA7128" w:rsidRDefault="00EA7128">
            <w:pPr>
              <w:jc w:val="right"/>
              <w:rPr>
                <w:color w:val="000000"/>
                <w:sz w:val="22"/>
                <w:szCs w:val="22"/>
              </w:rPr>
            </w:pPr>
            <w:r>
              <w:rPr>
                <w:color w:val="000000"/>
                <w:sz w:val="22"/>
                <w:szCs w:val="22"/>
              </w:rPr>
              <w:t>3.906,66</w:t>
            </w:r>
          </w:p>
        </w:tc>
      </w:tr>
      <w:tr w:rsidR="00EA7128" w14:paraId="5C6EFE90" w14:textId="77777777" w:rsidTr="00EA7128">
        <w:trPr>
          <w:trHeight w:val="330"/>
        </w:trPr>
        <w:tc>
          <w:tcPr>
            <w:tcW w:w="148" w:type="pct"/>
            <w:tcBorders>
              <w:top w:val="nil"/>
              <w:left w:val="single" w:sz="4" w:space="0" w:color="auto"/>
              <w:bottom w:val="nil"/>
              <w:right w:val="nil"/>
            </w:tcBorders>
            <w:shd w:val="clear" w:color="auto" w:fill="auto"/>
            <w:noWrap/>
            <w:vAlign w:val="bottom"/>
            <w:hideMark/>
          </w:tcPr>
          <w:p w14:paraId="207039AC" w14:textId="77777777" w:rsidR="00EA7128" w:rsidRDefault="00EA7128">
            <w:pPr>
              <w:rPr>
                <w:sz w:val="22"/>
                <w:szCs w:val="22"/>
              </w:rPr>
            </w:pPr>
            <w:r>
              <w:rPr>
                <w:sz w:val="22"/>
                <w:szCs w:val="22"/>
              </w:rPr>
              <w:t> </w:t>
            </w:r>
          </w:p>
        </w:tc>
        <w:tc>
          <w:tcPr>
            <w:tcW w:w="146" w:type="pct"/>
            <w:tcBorders>
              <w:top w:val="nil"/>
              <w:left w:val="nil"/>
              <w:bottom w:val="nil"/>
              <w:right w:val="nil"/>
            </w:tcBorders>
            <w:shd w:val="clear" w:color="auto" w:fill="auto"/>
            <w:noWrap/>
            <w:vAlign w:val="bottom"/>
            <w:hideMark/>
          </w:tcPr>
          <w:p w14:paraId="0C6148BD" w14:textId="77777777" w:rsidR="00EA7128" w:rsidRDefault="00EA7128">
            <w:pPr>
              <w:rPr>
                <w:sz w:val="22"/>
                <w:szCs w:val="22"/>
              </w:rPr>
            </w:pPr>
          </w:p>
        </w:tc>
        <w:tc>
          <w:tcPr>
            <w:tcW w:w="2554" w:type="pct"/>
            <w:tcBorders>
              <w:top w:val="nil"/>
              <w:left w:val="nil"/>
              <w:bottom w:val="nil"/>
              <w:right w:val="nil"/>
            </w:tcBorders>
            <w:shd w:val="clear" w:color="auto" w:fill="auto"/>
            <w:noWrap/>
            <w:vAlign w:val="bottom"/>
            <w:hideMark/>
          </w:tcPr>
          <w:p w14:paraId="0B30388E" w14:textId="77777777" w:rsidR="00EA7128" w:rsidRDefault="00EA7128">
            <w:pPr>
              <w:rPr>
                <w:b/>
                <w:bCs/>
                <w:i/>
                <w:iCs/>
                <w:color w:val="000000"/>
                <w:sz w:val="22"/>
                <w:szCs w:val="22"/>
              </w:rPr>
            </w:pPr>
            <w:r>
              <w:rPr>
                <w:b/>
                <w:bCs/>
                <w:i/>
                <w:iCs/>
                <w:color w:val="000000"/>
                <w:sz w:val="22"/>
                <w:szCs w:val="22"/>
              </w:rPr>
              <w:t>Σύνολο</w:t>
            </w:r>
          </w:p>
        </w:tc>
        <w:tc>
          <w:tcPr>
            <w:tcW w:w="630" w:type="pct"/>
            <w:tcBorders>
              <w:top w:val="nil"/>
              <w:left w:val="nil"/>
              <w:bottom w:val="nil"/>
              <w:right w:val="nil"/>
            </w:tcBorders>
            <w:shd w:val="clear" w:color="auto" w:fill="auto"/>
            <w:noWrap/>
            <w:vAlign w:val="bottom"/>
            <w:hideMark/>
          </w:tcPr>
          <w:p w14:paraId="53F65469" w14:textId="77777777" w:rsidR="00EA7128" w:rsidRDefault="00EA7128">
            <w:pPr>
              <w:rPr>
                <w:b/>
                <w:bCs/>
                <w:i/>
                <w:iCs/>
                <w:color w:val="000000"/>
                <w:sz w:val="22"/>
                <w:szCs w:val="22"/>
              </w:rPr>
            </w:pPr>
          </w:p>
        </w:tc>
        <w:tc>
          <w:tcPr>
            <w:tcW w:w="751" w:type="pct"/>
            <w:tcBorders>
              <w:top w:val="single" w:sz="4" w:space="0" w:color="auto"/>
              <w:left w:val="single" w:sz="4" w:space="0" w:color="auto"/>
              <w:bottom w:val="double" w:sz="6" w:space="0" w:color="auto"/>
              <w:right w:val="nil"/>
            </w:tcBorders>
            <w:shd w:val="clear" w:color="auto" w:fill="auto"/>
            <w:noWrap/>
            <w:vAlign w:val="bottom"/>
            <w:hideMark/>
          </w:tcPr>
          <w:p w14:paraId="2C111C28" w14:textId="77777777" w:rsidR="00EA7128" w:rsidRDefault="00EA7128">
            <w:pPr>
              <w:jc w:val="right"/>
              <w:rPr>
                <w:b/>
                <w:bCs/>
                <w:i/>
                <w:iCs/>
                <w:sz w:val="22"/>
                <w:szCs w:val="22"/>
              </w:rPr>
            </w:pPr>
            <w:r>
              <w:rPr>
                <w:b/>
                <w:bCs/>
                <w:i/>
                <w:iCs/>
                <w:sz w:val="22"/>
                <w:szCs w:val="22"/>
              </w:rPr>
              <w:t>41.257,53</w:t>
            </w:r>
          </w:p>
        </w:tc>
        <w:tc>
          <w:tcPr>
            <w:tcW w:w="770" w:type="pct"/>
            <w:tcBorders>
              <w:top w:val="single" w:sz="4" w:space="0" w:color="auto"/>
              <w:left w:val="single" w:sz="4" w:space="0" w:color="auto"/>
              <w:bottom w:val="double" w:sz="6" w:space="0" w:color="auto"/>
              <w:right w:val="single" w:sz="4" w:space="0" w:color="auto"/>
            </w:tcBorders>
            <w:shd w:val="clear" w:color="auto" w:fill="auto"/>
            <w:noWrap/>
            <w:vAlign w:val="bottom"/>
            <w:hideMark/>
          </w:tcPr>
          <w:p w14:paraId="27720678" w14:textId="77777777" w:rsidR="00EA7128" w:rsidRDefault="00EA7128">
            <w:pPr>
              <w:jc w:val="right"/>
              <w:rPr>
                <w:b/>
                <w:bCs/>
                <w:i/>
                <w:iCs/>
                <w:color w:val="000000"/>
                <w:sz w:val="22"/>
                <w:szCs w:val="22"/>
              </w:rPr>
            </w:pPr>
            <w:r>
              <w:rPr>
                <w:b/>
                <w:bCs/>
                <w:i/>
                <w:iCs/>
                <w:color w:val="000000"/>
                <w:sz w:val="22"/>
                <w:szCs w:val="22"/>
              </w:rPr>
              <w:t>40.082,22</w:t>
            </w:r>
          </w:p>
        </w:tc>
      </w:tr>
      <w:tr w:rsidR="00EA7128" w14:paraId="209FCE83" w14:textId="77777777" w:rsidTr="00EA7128">
        <w:trPr>
          <w:trHeight w:val="330"/>
        </w:trPr>
        <w:tc>
          <w:tcPr>
            <w:tcW w:w="148" w:type="pct"/>
            <w:tcBorders>
              <w:top w:val="nil"/>
              <w:left w:val="single" w:sz="4" w:space="0" w:color="auto"/>
              <w:bottom w:val="nil"/>
              <w:right w:val="nil"/>
            </w:tcBorders>
            <w:shd w:val="clear" w:color="auto" w:fill="auto"/>
            <w:noWrap/>
            <w:vAlign w:val="bottom"/>
            <w:hideMark/>
          </w:tcPr>
          <w:p w14:paraId="2928B367" w14:textId="77777777" w:rsidR="00EA7128" w:rsidRDefault="00EA7128">
            <w:pPr>
              <w:rPr>
                <w:sz w:val="22"/>
                <w:szCs w:val="22"/>
              </w:rPr>
            </w:pPr>
            <w:r>
              <w:rPr>
                <w:sz w:val="22"/>
                <w:szCs w:val="22"/>
              </w:rPr>
              <w:t> </w:t>
            </w:r>
          </w:p>
        </w:tc>
        <w:tc>
          <w:tcPr>
            <w:tcW w:w="146" w:type="pct"/>
            <w:tcBorders>
              <w:top w:val="nil"/>
              <w:left w:val="nil"/>
              <w:bottom w:val="nil"/>
              <w:right w:val="nil"/>
            </w:tcBorders>
            <w:shd w:val="clear" w:color="auto" w:fill="auto"/>
            <w:noWrap/>
            <w:vAlign w:val="bottom"/>
            <w:hideMark/>
          </w:tcPr>
          <w:p w14:paraId="19774F23" w14:textId="77777777" w:rsidR="00EA7128" w:rsidRDefault="00EA7128">
            <w:pPr>
              <w:rPr>
                <w:sz w:val="22"/>
                <w:szCs w:val="22"/>
              </w:rPr>
            </w:pPr>
          </w:p>
        </w:tc>
        <w:tc>
          <w:tcPr>
            <w:tcW w:w="2554" w:type="pct"/>
            <w:tcBorders>
              <w:top w:val="nil"/>
              <w:left w:val="nil"/>
              <w:bottom w:val="nil"/>
              <w:right w:val="nil"/>
            </w:tcBorders>
            <w:shd w:val="clear" w:color="auto" w:fill="auto"/>
            <w:noWrap/>
            <w:vAlign w:val="bottom"/>
            <w:hideMark/>
          </w:tcPr>
          <w:p w14:paraId="1123A797" w14:textId="77777777" w:rsidR="00EA7128" w:rsidRDefault="00EA7128">
            <w:pPr>
              <w:rPr>
                <w:b/>
                <w:bCs/>
                <w:color w:val="000000"/>
                <w:sz w:val="22"/>
                <w:szCs w:val="22"/>
              </w:rPr>
            </w:pPr>
            <w:r>
              <w:rPr>
                <w:b/>
                <w:bCs/>
                <w:color w:val="000000"/>
                <w:sz w:val="22"/>
                <w:szCs w:val="22"/>
              </w:rPr>
              <w:t>Σύνολο κυκλοφορούντων</w:t>
            </w:r>
          </w:p>
        </w:tc>
        <w:tc>
          <w:tcPr>
            <w:tcW w:w="630" w:type="pct"/>
            <w:tcBorders>
              <w:top w:val="nil"/>
              <w:left w:val="nil"/>
              <w:bottom w:val="nil"/>
              <w:right w:val="nil"/>
            </w:tcBorders>
            <w:shd w:val="clear" w:color="auto" w:fill="auto"/>
            <w:noWrap/>
            <w:vAlign w:val="bottom"/>
            <w:hideMark/>
          </w:tcPr>
          <w:p w14:paraId="1FE11656" w14:textId="77777777" w:rsidR="00EA7128" w:rsidRDefault="00EA7128">
            <w:pPr>
              <w:rPr>
                <w:b/>
                <w:bCs/>
                <w:color w:val="000000"/>
                <w:sz w:val="22"/>
                <w:szCs w:val="22"/>
              </w:rPr>
            </w:pPr>
          </w:p>
        </w:tc>
        <w:tc>
          <w:tcPr>
            <w:tcW w:w="751" w:type="pct"/>
            <w:tcBorders>
              <w:top w:val="single" w:sz="4" w:space="0" w:color="auto"/>
              <w:left w:val="single" w:sz="4" w:space="0" w:color="auto"/>
              <w:bottom w:val="double" w:sz="6" w:space="0" w:color="auto"/>
              <w:right w:val="nil"/>
            </w:tcBorders>
            <w:shd w:val="clear" w:color="auto" w:fill="auto"/>
            <w:noWrap/>
            <w:vAlign w:val="bottom"/>
            <w:hideMark/>
          </w:tcPr>
          <w:p w14:paraId="1922A9DA" w14:textId="77777777" w:rsidR="00EA7128" w:rsidRDefault="00EA7128">
            <w:pPr>
              <w:jc w:val="right"/>
              <w:rPr>
                <w:b/>
                <w:bCs/>
                <w:sz w:val="22"/>
                <w:szCs w:val="22"/>
              </w:rPr>
            </w:pPr>
            <w:r>
              <w:rPr>
                <w:b/>
                <w:bCs/>
                <w:sz w:val="22"/>
                <w:szCs w:val="22"/>
              </w:rPr>
              <w:t>41.257,53</w:t>
            </w:r>
          </w:p>
        </w:tc>
        <w:tc>
          <w:tcPr>
            <w:tcW w:w="770" w:type="pct"/>
            <w:tcBorders>
              <w:top w:val="single" w:sz="4" w:space="0" w:color="auto"/>
              <w:left w:val="single" w:sz="4" w:space="0" w:color="auto"/>
              <w:bottom w:val="double" w:sz="6" w:space="0" w:color="auto"/>
              <w:right w:val="single" w:sz="4" w:space="0" w:color="auto"/>
            </w:tcBorders>
            <w:shd w:val="clear" w:color="auto" w:fill="auto"/>
            <w:noWrap/>
            <w:vAlign w:val="bottom"/>
            <w:hideMark/>
          </w:tcPr>
          <w:p w14:paraId="61DAC40B" w14:textId="77777777" w:rsidR="00EA7128" w:rsidRDefault="00EA7128">
            <w:pPr>
              <w:jc w:val="right"/>
              <w:rPr>
                <w:b/>
                <w:bCs/>
                <w:color w:val="000000"/>
                <w:sz w:val="22"/>
                <w:szCs w:val="22"/>
              </w:rPr>
            </w:pPr>
            <w:r>
              <w:rPr>
                <w:b/>
                <w:bCs/>
                <w:color w:val="000000"/>
                <w:sz w:val="22"/>
                <w:szCs w:val="22"/>
              </w:rPr>
              <w:t>40.082,22</w:t>
            </w:r>
          </w:p>
        </w:tc>
      </w:tr>
      <w:tr w:rsidR="00EA7128" w14:paraId="62557095" w14:textId="77777777" w:rsidTr="00EA7128">
        <w:trPr>
          <w:trHeight w:val="330"/>
        </w:trPr>
        <w:tc>
          <w:tcPr>
            <w:tcW w:w="148" w:type="pct"/>
            <w:tcBorders>
              <w:top w:val="nil"/>
              <w:left w:val="single" w:sz="4" w:space="0" w:color="auto"/>
              <w:bottom w:val="single" w:sz="4" w:space="0" w:color="auto"/>
              <w:right w:val="nil"/>
            </w:tcBorders>
            <w:shd w:val="clear" w:color="auto" w:fill="auto"/>
            <w:noWrap/>
            <w:vAlign w:val="bottom"/>
            <w:hideMark/>
          </w:tcPr>
          <w:p w14:paraId="2DC23C60" w14:textId="77777777" w:rsidR="00EA7128" w:rsidRDefault="00EA7128">
            <w:pPr>
              <w:rPr>
                <w:sz w:val="22"/>
                <w:szCs w:val="22"/>
              </w:rPr>
            </w:pPr>
            <w:r>
              <w:rPr>
                <w:sz w:val="22"/>
                <w:szCs w:val="22"/>
              </w:rPr>
              <w:t> </w:t>
            </w:r>
          </w:p>
        </w:tc>
        <w:tc>
          <w:tcPr>
            <w:tcW w:w="146" w:type="pct"/>
            <w:tcBorders>
              <w:top w:val="nil"/>
              <w:left w:val="nil"/>
              <w:bottom w:val="single" w:sz="4" w:space="0" w:color="auto"/>
              <w:right w:val="nil"/>
            </w:tcBorders>
            <w:shd w:val="clear" w:color="auto" w:fill="auto"/>
            <w:noWrap/>
            <w:vAlign w:val="bottom"/>
            <w:hideMark/>
          </w:tcPr>
          <w:p w14:paraId="0F92FEFA" w14:textId="77777777" w:rsidR="00EA7128" w:rsidRDefault="00EA7128">
            <w:pPr>
              <w:rPr>
                <w:b/>
                <w:bCs/>
                <w:color w:val="000000"/>
                <w:sz w:val="22"/>
                <w:szCs w:val="22"/>
              </w:rPr>
            </w:pPr>
            <w:r>
              <w:rPr>
                <w:b/>
                <w:bCs/>
                <w:color w:val="000000"/>
                <w:sz w:val="22"/>
                <w:szCs w:val="22"/>
              </w:rPr>
              <w:t> </w:t>
            </w:r>
          </w:p>
        </w:tc>
        <w:tc>
          <w:tcPr>
            <w:tcW w:w="2554" w:type="pct"/>
            <w:tcBorders>
              <w:top w:val="nil"/>
              <w:left w:val="nil"/>
              <w:bottom w:val="single" w:sz="4" w:space="0" w:color="auto"/>
              <w:right w:val="nil"/>
            </w:tcBorders>
            <w:shd w:val="clear" w:color="auto" w:fill="auto"/>
            <w:noWrap/>
            <w:vAlign w:val="bottom"/>
            <w:hideMark/>
          </w:tcPr>
          <w:p w14:paraId="154C76F8" w14:textId="77777777" w:rsidR="00EA7128" w:rsidRDefault="00EA7128">
            <w:pPr>
              <w:rPr>
                <w:b/>
                <w:bCs/>
                <w:color w:val="000000"/>
                <w:sz w:val="22"/>
                <w:szCs w:val="22"/>
              </w:rPr>
            </w:pPr>
            <w:r>
              <w:rPr>
                <w:b/>
                <w:bCs/>
                <w:color w:val="000000"/>
                <w:sz w:val="22"/>
                <w:szCs w:val="22"/>
              </w:rPr>
              <w:t>Σύνολο ενεργητικού</w:t>
            </w:r>
          </w:p>
        </w:tc>
        <w:tc>
          <w:tcPr>
            <w:tcW w:w="630" w:type="pct"/>
            <w:tcBorders>
              <w:top w:val="nil"/>
              <w:left w:val="nil"/>
              <w:bottom w:val="single" w:sz="4" w:space="0" w:color="auto"/>
              <w:right w:val="nil"/>
            </w:tcBorders>
            <w:shd w:val="clear" w:color="auto" w:fill="auto"/>
            <w:noWrap/>
            <w:vAlign w:val="bottom"/>
            <w:hideMark/>
          </w:tcPr>
          <w:p w14:paraId="317CB9C6" w14:textId="77777777" w:rsidR="00EA7128" w:rsidRDefault="00EA7128">
            <w:pPr>
              <w:jc w:val="center"/>
              <w:rPr>
                <w:b/>
                <w:bCs/>
                <w:color w:val="000000"/>
                <w:sz w:val="22"/>
                <w:szCs w:val="22"/>
              </w:rPr>
            </w:pPr>
            <w:r>
              <w:rPr>
                <w:b/>
                <w:bCs/>
                <w:color w:val="000000"/>
                <w:sz w:val="22"/>
                <w:szCs w:val="22"/>
              </w:rPr>
              <w:t> </w:t>
            </w:r>
          </w:p>
        </w:tc>
        <w:tc>
          <w:tcPr>
            <w:tcW w:w="751" w:type="pct"/>
            <w:tcBorders>
              <w:top w:val="single" w:sz="4" w:space="0" w:color="auto"/>
              <w:left w:val="single" w:sz="4" w:space="0" w:color="auto"/>
              <w:bottom w:val="single" w:sz="4" w:space="0" w:color="auto"/>
              <w:right w:val="nil"/>
            </w:tcBorders>
            <w:shd w:val="clear" w:color="auto" w:fill="auto"/>
            <w:noWrap/>
            <w:vAlign w:val="bottom"/>
            <w:hideMark/>
          </w:tcPr>
          <w:p w14:paraId="18EFA4D1" w14:textId="77777777" w:rsidR="00EA7128" w:rsidRDefault="00EA7128">
            <w:pPr>
              <w:jc w:val="right"/>
              <w:rPr>
                <w:b/>
                <w:bCs/>
                <w:sz w:val="22"/>
                <w:szCs w:val="22"/>
              </w:rPr>
            </w:pPr>
            <w:r>
              <w:rPr>
                <w:b/>
                <w:bCs/>
                <w:sz w:val="22"/>
                <w:szCs w:val="22"/>
              </w:rPr>
              <w:t>114.937,72</w:t>
            </w:r>
          </w:p>
        </w:tc>
        <w:tc>
          <w:tcPr>
            <w:tcW w:w="7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92AF22" w14:textId="77777777" w:rsidR="00EA7128" w:rsidRDefault="00EA7128">
            <w:pPr>
              <w:jc w:val="right"/>
              <w:rPr>
                <w:b/>
                <w:bCs/>
                <w:color w:val="000000"/>
                <w:sz w:val="22"/>
                <w:szCs w:val="22"/>
              </w:rPr>
            </w:pPr>
            <w:r>
              <w:rPr>
                <w:b/>
                <w:bCs/>
                <w:color w:val="000000"/>
                <w:sz w:val="22"/>
                <w:szCs w:val="22"/>
              </w:rPr>
              <w:t>115.253,24</w:t>
            </w:r>
          </w:p>
        </w:tc>
      </w:tr>
    </w:tbl>
    <w:p w14:paraId="02CCFE0B" w14:textId="77777777" w:rsidR="00F14C81" w:rsidRPr="00A131AE" w:rsidRDefault="00F14C81">
      <w:pPr>
        <w:tabs>
          <w:tab w:val="left" w:pos="5253"/>
          <w:tab w:val="left" w:pos="6062"/>
          <w:tab w:val="left" w:pos="7542"/>
        </w:tabs>
        <w:ind w:left="93"/>
        <w:rPr>
          <w:b/>
          <w:bCs/>
          <w:color w:val="000000"/>
          <w:sz w:val="18"/>
          <w:szCs w:val="18"/>
          <w:highlight w:val="yellow"/>
        </w:rPr>
      </w:pPr>
    </w:p>
    <w:p w14:paraId="0D3A8D6B" w14:textId="77777777" w:rsidR="004841CE" w:rsidRPr="00A131AE" w:rsidRDefault="00F14C81">
      <w:pPr>
        <w:tabs>
          <w:tab w:val="left" w:pos="5253"/>
          <w:tab w:val="left" w:pos="6062"/>
          <w:tab w:val="left" w:pos="7542"/>
        </w:tabs>
        <w:ind w:left="93"/>
        <w:rPr>
          <w:b/>
          <w:bCs/>
          <w:color w:val="000000"/>
          <w:sz w:val="18"/>
          <w:szCs w:val="18"/>
          <w:highlight w:val="yellow"/>
        </w:rPr>
      </w:pPr>
      <w:r w:rsidRPr="00A131AE">
        <w:rPr>
          <w:b/>
          <w:bCs/>
          <w:color w:val="000000"/>
          <w:sz w:val="18"/>
          <w:szCs w:val="18"/>
          <w:highlight w:val="yellow"/>
        </w:rPr>
        <w:br w:type="page"/>
      </w:r>
    </w:p>
    <w:tbl>
      <w:tblPr>
        <w:tblW w:w="5000" w:type="pct"/>
        <w:tblLook w:val="04A0" w:firstRow="1" w:lastRow="0" w:firstColumn="1" w:lastColumn="0" w:noHBand="0" w:noVBand="1"/>
      </w:tblPr>
      <w:tblGrid>
        <w:gridCol w:w="271"/>
        <w:gridCol w:w="272"/>
        <w:gridCol w:w="4733"/>
        <w:gridCol w:w="1178"/>
        <w:gridCol w:w="1445"/>
        <w:gridCol w:w="1445"/>
      </w:tblGrid>
      <w:tr w:rsidR="00EA7128" w14:paraId="509AE8FE" w14:textId="77777777" w:rsidTr="00EA7128">
        <w:trPr>
          <w:trHeight w:val="330"/>
        </w:trPr>
        <w:tc>
          <w:tcPr>
            <w:tcW w:w="2833" w:type="pct"/>
            <w:gridSpan w:val="3"/>
            <w:tcBorders>
              <w:top w:val="single" w:sz="4" w:space="0" w:color="auto"/>
              <w:left w:val="single" w:sz="4" w:space="0" w:color="auto"/>
              <w:bottom w:val="nil"/>
              <w:right w:val="nil"/>
            </w:tcBorders>
            <w:shd w:val="clear" w:color="auto" w:fill="auto"/>
            <w:noWrap/>
            <w:vAlign w:val="bottom"/>
            <w:hideMark/>
          </w:tcPr>
          <w:p w14:paraId="1A4FF5CD" w14:textId="77777777" w:rsidR="00EA7128" w:rsidRDefault="00EA7128">
            <w:pPr>
              <w:rPr>
                <w:b/>
                <w:bCs/>
                <w:sz w:val="22"/>
                <w:szCs w:val="22"/>
              </w:rPr>
            </w:pPr>
            <w:r>
              <w:rPr>
                <w:b/>
                <w:bCs/>
                <w:sz w:val="22"/>
                <w:szCs w:val="22"/>
              </w:rPr>
              <w:lastRenderedPageBreak/>
              <w:t>ΠΑΘΗΤΙΚΟ</w:t>
            </w:r>
          </w:p>
        </w:tc>
        <w:tc>
          <w:tcPr>
            <w:tcW w:w="534" w:type="pct"/>
            <w:tcBorders>
              <w:top w:val="single" w:sz="4" w:space="0" w:color="auto"/>
              <w:left w:val="nil"/>
              <w:bottom w:val="nil"/>
              <w:right w:val="nil"/>
            </w:tcBorders>
            <w:shd w:val="clear" w:color="auto" w:fill="auto"/>
            <w:noWrap/>
            <w:vAlign w:val="bottom"/>
            <w:hideMark/>
          </w:tcPr>
          <w:p w14:paraId="08957F3A" w14:textId="77777777" w:rsidR="00EA7128" w:rsidRDefault="00EA7128">
            <w:pPr>
              <w:rPr>
                <w:b/>
                <w:bCs/>
                <w:color w:val="000000"/>
                <w:sz w:val="22"/>
                <w:szCs w:val="22"/>
                <w:u w:val="single"/>
              </w:rPr>
            </w:pPr>
            <w:r>
              <w:rPr>
                <w:b/>
                <w:bCs/>
                <w:color w:val="000000"/>
                <w:sz w:val="22"/>
                <w:szCs w:val="22"/>
                <w:u w:val="single"/>
              </w:rPr>
              <w:t>Σημείωση</w:t>
            </w:r>
          </w:p>
        </w:tc>
        <w:tc>
          <w:tcPr>
            <w:tcW w:w="807" w:type="pct"/>
            <w:tcBorders>
              <w:top w:val="single" w:sz="4" w:space="0" w:color="auto"/>
              <w:left w:val="single" w:sz="4" w:space="0" w:color="auto"/>
              <w:bottom w:val="nil"/>
              <w:right w:val="nil"/>
            </w:tcBorders>
            <w:shd w:val="clear" w:color="auto" w:fill="auto"/>
            <w:noWrap/>
            <w:vAlign w:val="bottom"/>
            <w:hideMark/>
          </w:tcPr>
          <w:p w14:paraId="6A3E7C6B" w14:textId="77777777" w:rsidR="00EA7128" w:rsidRDefault="00EA7128">
            <w:pPr>
              <w:jc w:val="right"/>
              <w:rPr>
                <w:b/>
                <w:bCs/>
                <w:sz w:val="22"/>
                <w:szCs w:val="22"/>
                <w:u w:val="single"/>
              </w:rPr>
            </w:pPr>
            <w:r>
              <w:rPr>
                <w:b/>
                <w:bCs/>
                <w:sz w:val="22"/>
                <w:szCs w:val="22"/>
                <w:u w:val="single"/>
              </w:rPr>
              <w:t>31/12/20</w:t>
            </w:r>
          </w:p>
        </w:tc>
        <w:tc>
          <w:tcPr>
            <w:tcW w:w="825" w:type="pct"/>
            <w:tcBorders>
              <w:top w:val="single" w:sz="4" w:space="0" w:color="auto"/>
              <w:left w:val="single" w:sz="4" w:space="0" w:color="auto"/>
              <w:bottom w:val="nil"/>
              <w:right w:val="single" w:sz="4" w:space="0" w:color="auto"/>
            </w:tcBorders>
            <w:shd w:val="clear" w:color="auto" w:fill="auto"/>
            <w:noWrap/>
            <w:vAlign w:val="bottom"/>
            <w:hideMark/>
          </w:tcPr>
          <w:p w14:paraId="7A37FABC" w14:textId="77777777" w:rsidR="00EA7128" w:rsidRDefault="00EA7128">
            <w:pPr>
              <w:jc w:val="right"/>
              <w:rPr>
                <w:b/>
                <w:bCs/>
                <w:color w:val="000000"/>
                <w:sz w:val="22"/>
                <w:szCs w:val="22"/>
                <w:u w:val="single"/>
              </w:rPr>
            </w:pPr>
            <w:r>
              <w:rPr>
                <w:b/>
                <w:bCs/>
                <w:color w:val="000000"/>
                <w:sz w:val="22"/>
                <w:szCs w:val="22"/>
                <w:u w:val="single"/>
              </w:rPr>
              <w:t>31/12/19</w:t>
            </w:r>
          </w:p>
        </w:tc>
      </w:tr>
      <w:tr w:rsidR="00EA7128" w14:paraId="201A8F5C" w14:textId="77777777" w:rsidTr="00EA7128">
        <w:trPr>
          <w:trHeight w:val="330"/>
        </w:trPr>
        <w:tc>
          <w:tcPr>
            <w:tcW w:w="2833" w:type="pct"/>
            <w:gridSpan w:val="3"/>
            <w:tcBorders>
              <w:top w:val="nil"/>
              <w:left w:val="single" w:sz="4" w:space="0" w:color="auto"/>
              <w:bottom w:val="nil"/>
              <w:right w:val="nil"/>
            </w:tcBorders>
            <w:shd w:val="clear" w:color="auto" w:fill="auto"/>
            <w:noWrap/>
            <w:vAlign w:val="bottom"/>
            <w:hideMark/>
          </w:tcPr>
          <w:p w14:paraId="61E94B49" w14:textId="77777777" w:rsidR="00EA7128" w:rsidRDefault="00EA7128">
            <w:pPr>
              <w:rPr>
                <w:b/>
                <w:bCs/>
                <w:color w:val="000000"/>
                <w:sz w:val="22"/>
                <w:szCs w:val="22"/>
              </w:rPr>
            </w:pPr>
            <w:r>
              <w:rPr>
                <w:b/>
                <w:bCs/>
                <w:color w:val="000000"/>
                <w:sz w:val="22"/>
                <w:szCs w:val="22"/>
              </w:rPr>
              <w:t>Καθαρή θέση</w:t>
            </w:r>
          </w:p>
        </w:tc>
        <w:tc>
          <w:tcPr>
            <w:tcW w:w="534" w:type="pct"/>
            <w:tcBorders>
              <w:top w:val="nil"/>
              <w:left w:val="nil"/>
              <w:bottom w:val="nil"/>
              <w:right w:val="nil"/>
            </w:tcBorders>
            <w:shd w:val="clear" w:color="auto" w:fill="auto"/>
            <w:noWrap/>
            <w:vAlign w:val="bottom"/>
            <w:hideMark/>
          </w:tcPr>
          <w:p w14:paraId="4DFA28C1" w14:textId="77777777" w:rsidR="00EA7128" w:rsidRDefault="00EA7128">
            <w:pPr>
              <w:rPr>
                <w:b/>
                <w:bCs/>
                <w:color w:val="000000"/>
                <w:sz w:val="22"/>
                <w:szCs w:val="22"/>
              </w:rPr>
            </w:pPr>
          </w:p>
        </w:tc>
        <w:tc>
          <w:tcPr>
            <w:tcW w:w="807" w:type="pct"/>
            <w:tcBorders>
              <w:top w:val="nil"/>
              <w:left w:val="single" w:sz="4" w:space="0" w:color="auto"/>
              <w:bottom w:val="nil"/>
              <w:right w:val="nil"/>
            </w:tcBorders>
            <w:shd w:val="clear" w:color="auto" w:fill="auto"/>
            <w:noWrap/>
            <w:vAlign w:val="bottom"/>
            <w:hideMark/>
          </w:tcPr>
          <w:p w14:paraId="10FA49E9" w14:textId="77777777" w:rsidR="00EA7128" w:rsidRDefault="00EA7128">
            <w:pPr>
              <w:rPr>
                <w:sz w:val="22"/>
                <w:szCs w:val="22"/>
              </w:rPr>
            </w:pPr>
            <w:r>
              <w:rPr>
                <w:sz w:val="22"/>
                <w:szCs w:val="22"/>
              </w:rPr>
              <w:t> </w:t>
            </w:r>
          </w:p>
        </w:tc>
        <w:tc>
          <w:tcPr>
            <w:tcW w:w="825" w:type="pct"/>
            <w:tcBorders>
              <w:top w:val="nil"/>
              <w:left w:val="single" w:sz="4" w:space="0" w:color="auto"/>
              <w:bottom w:val="nil"/>
              <w:right w:val="single" w:sz="4" w:space="0" w:color="auto"/>
            </w:tcBorders>
            <w:shd w:val="clear" w:color="auto" w:fill="auto"/>
            <w:noWrap/>
            <w:vAlign w:val="bottom"/>
            <w:hideMark/>
          </w:tcPr>
          <w:p w14:paraId="6CF2224B" w14:textId="77777777" w:rsidR="00EA7128" w:rsidRDefault="00EA7128">
            <w:pPr>
              <w:rPr>
                <w:color w:val="000000"/>
                <w:sz w:val="22"/>
                <w:szCs w:val="22"/>
              </w:rPr>
            </w:pPr>
            <w:r>
              <w:rPr>
                <w:color w:val="000000"/>
                <w:sz w:val="22"/>
                <w:szCs w:val="22"/>
              </w:rPr>
              <w:t> </w:t>
            </w:r>
          </w:p>
        </w:tc>
      </w:tr>
      <w:tr w:rsidR="00EA7128" w14:paraId="17DD74B4" w14:textId="77777777" w:rsidTr="00EA7128">
        <w:trPr>
          <w:trHeight w:val="330"/>
        </w:trPr>
        <w:tc>
          <w:tcPr>
            <w:tcW w:w="123" w:type="pct"/>
            <w:tcBorders>
              <w:top w:val="nil"/>
              <w:left w:val="single" w:sz="4" w:space="0" w:color="auto"/>
              <w:bottom w:val="nil"/>
              <w:right w:val="nil"/>
            </w:tcBorders>
            <w:shd w:val="clear" w:color="auto" w:fill="auto"/>
            <w:noWrap/>
            <w:vAlign w:val="bottom"/>
            <w:hideMark/>
          </w:tcPr>
          <w:p w14:paraId="35FA767E" w14:textId="77777777" w:rsidR="00EA7128" w:rsidRDefault="00EA7128">
            <w:pPr>
              <w:rPr>
                <w:sz w:val="22"/>
                <w:szCs w:val="22"/>
              </w:rPr>
            </w:pPr>
            <w:r>
              <w:rPr>
                <w:sz w:val="22"/>
                <w:szCs w:val="22"/>
              </w:rPr>
              <w:t> </w:t>
            </w:r>
          </w:p>
        </w:tc>
        <w:tc>
          <w:tcPr>
            <w:tcW w:w="2710" w:type="pct"/>
            <w:gridSpan w:val="2"/>
            <w:tcBorders>
              <w:top w:val="nil"/>
              <w:left w:val="nil"/>
              <w:bottom w:val="nil"/>
              <w:right w:val="nil"/>
            </w:tcBorders>
            <w:shd w:val="clear" w:color="auto" w:fill="auto"/>
            <w:noWrap/>
            <w:vAlign w:val="bottom"/>
            <w:hideMark/>
          </w:tcPr>
          <w:p w14:paraId="64A090D8" w14:textId="77777777" w:rsidR="00EA7128" w:rsidRDefault="00EA7128">
            <w:pPr>
              <w:rPr>
                <w:b/>
                <w:bCs/>
                <w:color w:val="000000"/>
                <w:sz w:val="22"/>
                <w:szCs w:val="22"/>
              </w:rPr>
            </w:pPr>
            <w:r>
              <w:rPr>
                <w:b/>
                <w:bCs/>
                <w:color w:val="000000"/>
                <w:sz w:val="22"/>
                <w:szCs w:val="22"/>
              </w:rPr>
              <w:t>Καταβλημένα κεφάλαια</w:t>
            </w:r>
          </w:p>
        </w:tc>
        <w:tc>
          <w:tcPr>
            <w:tcW w:w="534" w:type="pct"/>
            <w:tcBorders>
              <w:top w:val="nil"/>
              <w:left w:val="nil"/>
              <w:bottom w:val="nil"/>
              <w:right w:val="nil"/>
            </w:tcBorders>
            <w:shd w:val="clear" w:color="auto" w:fill="auto"/>
            <w:noWrap/>
            <w:vAlign w:val="bottom"/>
            <w:hideMark/>
          </w:tcPr>
          <w:p w14:paraId="7EE19CD6" w14:textId="77777777" w:rsidR="00EA7128" w:rsidRDefault="00EA7128">
            <w:pPr>
              <w:rPr>
                <w:b/>
                <w:bCs/>
                <w:color w:val="000000"/>
                <w:sz w:val="22"/>
                <w:szCs w:val="22"/>
              </w:rPr>
            </w:pPr>
          </w:p>
        </w:tc>
        <w:tc>
          <w:tcPr>
            <w:tcW w:w="807" w:type="pct"/>
            <w:tcBorders>
              <w:top w:val="nil"/>
              <w:left w:val="single" w:sz="4" w:space="0" w:color="auto"/>
              <w:bottom w:val="nil"/>
              <w:right w:val="nil"/>
            </w:tcBorders>
            <w:shd w:val="clear" w:color="auto" w:fill="auto"/>
            <w:noWrap/>
            <w:vAlign w:val="bottom"/>
            <w:hideMark/>
          </w:tcPr>
          <w:p w14:paraId="304AACF0" w14:textId="77777777" w:rsidR="00EA7128" w:rsidRDefault="00EA7128">
            <w:pPr>
              <w:rPr>
                <w:sz w:val="22"/>
                <w:szCs w:val="22"/>
              </w:rPr>
            </w:pPr>
            <w:r>
              <w:rPr>
                <w:sz w:val="22"/>
                <w:szCs w:val="22"/>
              </w:rPr>
              <w:t> </w:t>
            </w:r>
          </w:p>
        </w:tc>
        <w:tc>
          <w:tcPr>
            <w:tcW w:w="825" w:type="pct"/>
            <w:tcBorders>
              <w:top w:val="nil"/>
              <w:left w:val="single" w:sz="4" w:space="0" w:color="auto"/>
              <w:bottom w:val="nil"/>
              <w:right w:val="single" w:sz="4" w:space="0" w:color="auto"/>
            </w:tcBorders>
            <w:shd w:val="clear" w:color="auto" w:fill="auto"/>
            <w:noWrap/>
            <w:vAlign w:val="bottom"/>
            <w:hideMark/>
          </w:tcPr>
          <w:p w14:paraId="3BD93BF2" w14:textId="77777777" w:rsidR="00EA7128" w:rsidRDefault="00EA7128">
            <w:pPr>
              <w:rPr>
                <w:color w:val="000000"/>
                <w:sz w:val="22"/>
                <w:szCs w:val="22"/>
              </w:rPr>
            </w:pPr>
            <w:r>
              <w:rPr>
                <w:color w:val="000000"/>
                <w:sz w:val="22"/>
                <w:szCs w:val="22"/>
              </w:rPr>
              <w:t> </w:t>
            </w:r>
          </w:p>
        </w:tc>
      </w:tr>
      <w:tr w:rsidR="00EA7128" w14:paraId="58647F6C" w14:textId="77777777" w:rsidTr="00EA7128">
        <w:trPr>
          <w:trHeight w:val="330"/>
        </w:trPr>
        <w:tc>
          <w:tcPr>
            <w:tcW w:w="123" w:type="pct"/>
            <w:tcBorders>
              <w:top w:val="nil"/>
              <w:left w:val="single" w:sz="4" w:space="0" w:color="auto"/>
              <w:bottom w:val="nil"/>
              <w:right w:val="nil"/>
            </w:tcBorders>
            <w:shd w:val="clear" w:color="auto" w:fill="auto"/>
            <w:noWrap/>
            <w:vAlign w:val="bottom"/>
            <w:hideMark/>
          </w:tcPr>
          <w:p w14:paraId="25D2E34D" w14:textId="77777777" w:rsidR="00EA7128" w:rsidRDefault="00EA7128">
            <w:pPr>
              <w:rPr>
                <w:sz w:val="22"/>
                <w:szCs w:val="22"/>
              </w:rPr>
            </w:pPr>
            <w:r>
              <w:rPr>
                <w:sz w:val="22"/>
                <w:szCs w:val="22"/>
              </w:rPr>
              <w:t> </w:t>
            </w:r>
          </w:p>
        </w:tc>
        <w:tc>
          <w:tcPr>
            <w:tcW w:w="123" w:type="pct"/>
            <w:tcBorders>
              <w:top w:val="nil"/>
              <w:left w:val="nil"/>
              <w:bottom w:val="nil"/>
              <w:right w:val="nil"/>
            </w:tcBorders>
            <w:shd w:val="clear" w:color="auto" w:fill="auto"/>
            <w:noWrap/>
            <w:vAlign w:val="bottom"/>
            <w:hideMark/>
          </w:tcPr>
          <w:p w14:paraId="2666C682" w14:textId="77777777" w:rsidR="00EA7128" w:rsidRDefault="00EA7128">
            <w:pPr>
              <w:rPr>
                <w:sz w:val="22"/>
                <w:szCs w:val="22"/>
              </w:rPr>
            </w:pPr>
          </w:p>
        </w:tc>
        <w:tc>
          <w:tcPr>
            <w:tcW w:w="2587" w:type="pct"/>
            <w:tcBorders>
              <w:top w:val="nil"/>
              <w:left w:val="nil"/>
              <w:bottom w:val="nil"/>
              <w:right w:val="nil"/>
            </w:tcBorders>
            <w:shd w:val="clear" w:color="auto" w:fill="auto"/>
            <w:noWrap/>
            <w:vAlign w:val="bottom"/>
            <w:hideMark/>
          </w:tcPr>
          <w:p w14:paraId="4FDA3248" w14:textId="77777777" w:rsidR="00EA7128" w:rsidRDefault="00EA7128">
            <w:pPr>
              <w:rPr>
                <w:color w:val="000000"/>
                <w:sz w:val="22"/>
                <w:szCs w:val="22"/>
              </w:rPr>
            </w:pPr>
            <w:r>
              <w:rPr>
                <w:color w:val="000000"/>
                <w:sz w:val="22"/>
                <w:szCs w:val="22"/>
              </w:rPr>
              <w:t>Κεφάλαιο</w:t>
            </w:r>
          </w:p>
        </w:tc>
        <w:tc>
          <w:tcPr>
            <w:tcW w:w="534" w:type="pct"/>
            <w:tcBorders>
              <w:top w:val="nil"/>
              <w:left w:val="nil"/>
              <w:bottom w:val="nil"/>
              <w:right w:val="nil"/>
            </w:tcBorders>
            <w:shd w:val="clear" w:color="auto" w:fill="auto"/>
            <w:noWrap/>
            <w:vAlign w:val="bottom"/>
            <w:hideMark/>
          </w:tcPr>
          <w:p w14:paraId="00C7D1D2" w14:textId="77777777" w:rsidR="00EA7128" w:rsidRDefault="00EA7128">
            <w:pPr>
              <w:rPr>
                <w:color w:val="000000"/>
                <w:sz w:val="22"/>
                <w:szCs w:val="22"/>
              </w:rPr>
            </w:pPr>
          </w:p>
        </w:tc>
        <w:tc>
          <w:tcPr>
            <w:tcW w:w="807" w:type="pct"/>
            <w:tcBorders>
              <w:top w:val="nil"/>
              <w:left w:val="single" w:sz="4" w:space="0" w:color="auto"/>
              <w:bottom w:val="nil"/>
              <w:right w:val="nil"/>
            </w:tcBorders>
            <w:shd w:val="clear" w:color="auto" w:fill="auto"/>
            <w:noWrap/>
            <w:vAlign w:val="bottom"/>
            <w:hideMark/>
          </w:tcPr>
          <w:p w14:paraId="0CC91AB7" w14:textId="77777777" w:rsidR="00EA7128" w:rsidRDefault="00EA7128">
            <w:pPr>
              <w:jc w:val="right"/>
              <w:rPr>
                <w:sz w:val="22"/>
                <w:szCs w:val="22"/>
              </w:rPr>
            </w:pPr>
            <w:r>
              <w:rPr>
                <w:sz w:val="22"/>
                <w:szCs w:val="22"/>
              </w:rPr>
              <w:t>1.005.500,00</w:t>
            </w:r>
          </w:p>
        </w:tc>
        <w:tc>
          <w:tcPr>
            <w:tcW w:w="825" w:type="pct"/>
            <w:tcBorders>
              <w:top w:val="nil"/>
              <w:left w:val="single" w:sz="4" w:space="0" w:color="auto"/>
              <w:bottom w:val="nil"/>
              <w:right w:val="single" w:sz="4" w:space="0" w:color="auto"/>
            </w:tcBorders>
            <w:shd w:val="clear" w:color="auto" w:fill="auto"/>
            <w:noWrap/>
            <w:vAlign w:val="bottom"/>
            <w:hideMark/>
          </w:tcPr>
          <w:p w14:paraId="1A12A584" w14:textId="77777777" w:rsidR="00EA7128" w:rsidRDefault="00EA7128">
            <w:pPr>
              <w:jc w:val="right"/>
              <w:rPr>
                <w:color w:val="000000"/>
                <w:sz w:val="22"/>
                <w:szCs w:val="22"/>
              </w:rPr>
            </w:pPr>
            <w:r>
              <w:rPr>
                <w:color w:val="000000"/>
                <w:sz w:val="22"/>
                <w:szCs w:val="22"/>
              </w:rPr>
              <w:t>1.005.500,00</w:t>
            </w:r>
          </w:p>
        </w:tc>
      </w:tr>
      <w:tr w:rsidR="00EA7128" w14:paraId="5C759EFC" w14:textId="77777777" w:rsidTr="00EA7128">
        <w:trPr>
          <w:trHeight w:val="330"/>
        </w:trPr>
        <w:tc>
          <w:tcPr>
            <w:tcW w:w="123" w:type="pct"/>
            <w:tcBorders>
              <w:top w:val="nil"/>
              <w:left w:val="single" w:sz="4" w:space="0" w:color="auto"/>
              <w:bottom w:val="nil"/>
              <w:right w:val="nil"/>
            </w:tcBorders>
            <w:shd w:val="clear" w:color="auto" w:fill="auto"/>
            <w:noWrap/>
            <w:vAlign w:val="bottom"/>
            <w:hideMark/>
          </w:tcPr>
          <w:p w14:paraId="227938DA" w14:textId="77777777" w:rsidR="00EA7128" w:rsidRDefault="00EA7128">
            <w:pPr>
              <w:rPr>
                <w:sz w:val="22"/>
                <w:szCs w:val="22"/>
              </w:rPr>
            </w:pPr>
            <w:r>
              <w:rPr>
                <w:sz w:val="22"/>
                <w:szCs w:val="22"/>
              </w:rPr>
              <w:t> </w:t>
            </w:r>
          </w:p>
        </w:tc>
        <w:tc>
          <w:tcPr>
            <w:tcW w:w="123" w:type="pct"/>
            <w:tcBorders>
              <w:top w:val="nil"/>
              <w:left w:val="nil"/>
              <w:bottom w:val="nil"/>
              <w:right w:val="nil"/>
            </w:tcBorders>
            <w:shd w:val="clear" w:color="auto" w:fill="auto"/>
            <w:noWrap/>
            <w:vAlign w:val="bottom"/>
            <w:hideMark/>
          </w:tcPr>
          <w:p w14:paraId="1F86C07D" w14:textId="77777777" w:rsidR="00EA7128" w:rsidRDefault="00EA7128">
            <w:pPr>
              <w:rPr>
                <w:sz w:val="22"/>
                <w:szCs w:val="22"/>
              </w:rPr>
            </w:pPr>
          </w:p>
        </w:tc>
        <w:tc>
          <w:tcPr>
            <w:tcW w:w="2587" w:type="pct"/>
            <w:tcBorders>
              <w:top w:val="nil"/>
              <w:left w:val="nil"/>
              <w:bottom w:val="nil"/>
              <w:right w:val="nil"/>
            </w:tcBorders>
            <w:shd w:val="clear" w:color="auto" w:fill="auto"/>
            <w:noWrap/>
            <w:vAlign w:val="bottom"/>
            <w:hideMark/>
          </w:tcPr>
          <w:p w14:paraId="0F934538" w14:textId="77777777" w:rsidR="00EA7128" w:rsidRDefault="00EA7128">
            <w:pPr>
              <w:rPr>
                <w:color w:val="000000"/>
                <w:sz w:val="22"/>
                <w:szCs w:val="22"/>
              </w:rPr>
            </w:pPr>
            <w:r>
              <w:rPr>
                <w:color w:val="000000"/>
                <w:sz w:val="22"/>
                <w:szCs w:val="22"/>
              </w:rPr>
              <w:t>Υπέρ το άρτιο</w:t>
            </w:r>
          </w:p>
        </w:tc>
        <w:tc>
          <w:tcPr>
            <w:tcW w:w="534" w:type="pct"/>
            <w:tcBorders>
              <w:top w:val="nil"/>
              <w:left w:val="nil"/>
              <w:bottom w:val="nil"/>
              <w:right w:val="nil"/>
            </w:tcBorders>
            <w:shd w:val="clear" w:color="auto" w:fill="auto"/>
            <w:noWrap/>
            <w:vAlign w:val="bottom"/>
            <w:hideMark/>
          </w:tcPr>
          <w:p w14:paraId="1FD3259A" w14:textId="77777777" w:rsidR="00EA7128" w:rsidRDefault="00EA7128">
            <w:pPr>
              <w:rPr>
                <w:color w:val="000000"/>
                <w:sz w:val="22"/>
                <w:szCs w:val="22"/>
              </w:rPr>
            </w:pPr>
          </w:p>
        </w:tc>
        <w:tc>
          <w:tcPr>
            <w:tcW w:w="807" w:type="pct"/>
            <w:tcBorders>
              <w:top w:val="nil"/>
              <w:left w:val="single" w:sz="4" w:space="0" w:color="auto"/>
              <w:bottom w:val="nil"/>
              <w:right w:val="nil"/>
            </w:tcBorders>
            <w:shd w:val="clear" w:color="auto" w:fill="auto"/>
            <w:noWrap/>
            <w:vAlign w:val="bottom"/>
            <w:hideMark/>
          </w:tcPr>
          <w:p w14:paraId="02563787" w14:textId="77777777" w:rsidR="00EA7128" w:rsidRDefault="00EA7128">
            <w:pPr>
              <w:jc w:val="right"/>
              <w:rPr>
                <w:sz w:val="22"/>
                <w:szCs w:val="22"/>
              </w:rPr>
            </w:pPr>
            <w:r>
              <w:rPr>
                <w:sz w:val="22"/>
                <w:szCs w:val="22"/>
              </w:rPr>
              <w:t>1.336.500,00</w:t>
            </w:r>
          </w:p>
        </w:tc>
        <w:tc>
          <w:tcPr>
            <w:tcW w:w="825" w:type="pct"/>
            <w:tcBorders>
              <w:top w:val="nil"/>
              <w:left w:val="single" w:sz="4" w:space="0" w:color="auto"/>
              <w:bottom w:val="nil"/>
              <w:right w:val="single" w:sz="4" w:space="0" w:color="auto"/>
            </w:tcBorders>
            <w:shd w:val="clear" w:color="auto" w:fill="auto"/>
            <w:noWrap/>
            <w:vAlign w:val="bottom"/>
            <w:hideMark/>
          </w:tcPr>
          <w:p w14:paraId="409CDA75" w14:textId="77777777" w:rsidR="00EA7128" w:rsidRDefault="00EA7128">
            <w:pPr>
              <w:jc w:val="right"/>
              <w:rPr>
                <w:color w:val="000000"/>
                <w:sz w:val="22"/>
                <w:szCs w:val="22"/>
              </w:rPr>
            </w:pPr>
            <w:r>
              <w:rPr>
                <w:color w:val="000000"/>
                <w:sz w:val="22"/>
                <w:szCs w:val="22"/>
              </w:rPr>
              <w:t>1.336.500,00</w:t>
            </w:r>
          </w:p>
        </w:tc>
      </w:tr>
      <w:tr w:rsidR="00EA7128" w14:paraId="38F0DB20" w14:textId="77777777" w:rsidTr="00EA7128">
        <w:trPr>
          <w:trHeight w:val="330"/>
        </w:trPr>
        <w:tc>
          <w:tcPr>
            <w:tcW w:w="123" w:type="pct"/>
            <w:tcBorders>
              <w:top w:val="nil"/>
              <w:left w:val="single" w:sz="4" w:space="0" w:color="auto"/>
              <w:bottom w:val="nil"/>
              <w:right w:val="nil"/>
            </w:tcBorders>
            <w:shd w:val="clear" w:color="auto" w:fill="auto"/>
            <w:noWrap/>
            <w:vAlign w:val="bottom"/>
            <w:hideMark/>
          </w:tcPr>
          <w:p w14:paraId="27610A48" w14:textId="77777777" w:rsidR="00EA7128" w:rsidRDefault="00EA7128">
            <w:pPr>
              <w:rPr>
                <w:sz w:val="22"/>
                <w:szCs w:val="22"/>
              </w:rPr>
            </w:pPr>
            <w:r>
              <w:rPr>
                <w:sz w:val="22"/>
                <w:szCs w:val="22"/>
              </w:rPr>
              <w:t> </w:t>
            </w:r>
          </w:p>
        </w:tc>
        <w:tc>
          <w:tcPr>
            <w:tcW w:w="123" w:type="pct"/>
            <w:tcBorders>
              <w:top w:val="nil"/>
              <w:left w:val="nil"/>
              <w:bottom w:val="nil"/>
              <w:right w:val="nil"/>
            </w:tcBorders>
            <w:shd w:val="clear" w:color="auto" w:fill="auto"/>
            <w:noWrap/>
            <w:vAlign w:val="bottom"/>
            <w:hideMark/>
          </w:tcPr>
          <w:p w14:paraId="50D432BD" w14:textId="77777777" w:rsidR="00EA7128" w:rsidRDefault="00EA7128">
            <w:pPr>
              <w:rPr>
                <w:sz w:val="22"/>
                <w:szCs w:val="22"/>
              </w:rPr>
            </w:pPr>
          </w:p>
        </w:tc>
        <w:tc>
          <w:tcPr>
            <w:tcW w:w="2587" w:type="pct"/>
            <w:tcBorders>
              <w:top w:val="nil"/>
              <w:left w:val="nil"/>
              <w:bottom w:val="nil"/>
              <w:right w:val="nil"/>
            </w:tcBorders>
            <w:shd w:val="clear" w:color="auto" w:fill="auto"/>
            <w:noWrap/>
            <w:vAlign w:val="bottom"/>
            <w:hideMark/>
          </w:tcPr>
          <w:p w14:paraId="77AB5A8B" w14:textId="77777777" w:rsidR="00EA7128" w:rsidRDefault="00EA7128">
            <w:pPr>
              <w:rPr>
                <w:b/>
                <w:bCs/>
                <w:color w:val="000000"/>
                <w:sz w:val="22"/>
                <w:szCs w:val="22"/>
              </w:rPr>
            </w:pPr>
            <w:r>
              <w:rPr>
                <w:b/>
                <w:bCs/>
                <w:color w:val="000000"/>
                <w:sz w:val="22"/>
                <w:szCs w:val="22"/>
              </w:rPr>
              <w:t>Σύνολο</w:t>
            </w:r>
          </w:p>
        </w:tc>
        <w:tc>
          <w:tcPr>
            <w:tcW w:w="534" w:type="pct"/>
            <w:tcBorders>
              <w:top w:val="nil"/>
              <w:left w:val="nil"/>
              <w:bottom w:val="nil"/>
              <w:right w:val="nil"/>
            </w:tcBorders>
            <w:shd w:val="clear" w:color="auto" w:fill="auto"/>
            <w:noWrap/>
            <w:vAlign w:val="bottom"/>
            <w:hideMark/>
          </w:tcPr>
          <w:p w14:paraId="03BD7731" w14:textId="77777777" w:rsidR="00EA7128" w:rsidRDefault="00EA7128">
            <w:pPr>
              <w:rPr>
                <w:b/>
                <w:bCs/>
                <w:color w:val="000000"/>
                <w:sz w:val="22"/>
                <w:szCs w:val="22"/>
              </w:rPr>
            </w:pPr>
          </w:p>
        </w:tc>
        <w:tc>
          <w:tcPr>
            <w:tcW w:w="807" w:type="pct"/>
            <w:tcBorders>
              <w:top w:val="single" w:sz="4" w:space="0" w:color="auto"/>
              <w:left w:val="single" w:sz="4" w:space="0" w:color="auto"/>
              <w:bottom w:val="double" w:sz="6" w:space="0" w:color="auto"/>
              <w:right w:val="nil"/>
            </w:tcBorders>
            <w:shd w:val="clear" w:color="auto" w:fill="auto"/>
            <w:noWrap/>
            <w:vAlign w:val="bottom"/>
            <w:hideMark/>
          </w:tcPr>
          <w:p w14:paraId="16924D79" w14:textId="77777777" w:rsidR="00EA7128" w:rsidRDefault="00EA7128">
            <w:pPr>
              <w:jc w:val="right"/>
              <w:rPr>
                <w:b/>
                <w:bCs/>
                <w:i/>
                <w:iCs/>
                <w:sz w:val="22"/>
                <w:szCs w:val="22"/>
              </w:rPr>
            </w:pPr>
            <w:r>
              <w:rPr>
                <w:b/>
                <w:bCs/>
                <w:i/>
                <w:iCs/>
                <w:sz w:val="22"/>
                <w:szCs w:val="22"/>
              </w:rPr>
              <w:t>2.342.000,00</w:t>
            </w:r>
          </w:p>
        </w:tc>
        <w:tc>
          <w:tcPr>
            <w:tcW w:w="825" w:type="pct"/>
            <w:tcBorders>
              <w:top w:val="single" w:sz="4" w:space="0" w:color="auto"/>
              <w:left w:val="single" w:sz="4" w:space="0" w:color="auto"/>
              <w:bottom w:val="double" w:sz="6" w:space="0" w:color="auto"/>
              <w:right w:val="single" w:sz="4" w:space="0" w:color="auto"/>
            </w:tcBorders>
            <w:shd w:val="clear" w:color="auto" w:fill="auto"/>
            <w:noWrap/>
            <w:vAlign w:val="bottom"/>
            <w:hideMark/>
          </w:tcPr>
          <w:p w14:paraId="05B2D70E" w14:textId="77777777" w:rsidR="00EA7128" w:rsidRDefault="00EA7128">
            <w:pPr>
              <w:jc w:val="right"/>
              <w:rPr>
                <w:b/>
                <w:bCs/>
                <w:i/>
                <w:iCs/>
                <w:color w:val="000000"/>
                <w:sz w:val="22"/>
                <w:szCs w:val="22"/>
              </w:rPr>
            </w:pPr>
            <w:r>
              <w:rPr>
                <w:b/>
                <w:bCs/>
                <w:i/>
                <w:iCs/>
                <w:color w:val="000000"/>
                <w:sz w:val="22"/>
                <w:szCs w:val="22"/>
              </w:rPr>
              <w:t>2.342.000,00</w:t>
            </w:r>
          </w:p>
        </w:tc>
      </w:tr>
      <w:tr w:rsidR="00EA7128" w14:paraId="1266DF9A" w14:textId="77777777" w:rsidTr="00EA7128">
        <w:trPr>
          <w:trHeight w:val="330"/>
        </w:trPr>
        <w:tc>
          <w:tcPr>
            <w:tcW w:w="123" w:type="pct"/>
            <w:tcBorders>
              <w:top w:val="nil"/>
              <w:left w:val="single" w:sz="4" w:space="0" w:color="auto"/>
              <w:bottom w:val="nil"/>
              <w:right w:val="nil"/>
            </w:tcBorders>
            <w:shd w:val="clear" w:color="auto" w:fill="auto"/>
            <w:noWrap/>
            <w:vAlign w:val="bottom"/>
            <w:hideMark/>
          </w:tcPr>
          <w:p w14:paraId="0B132675" w14:textId="77777777" w:rsidR="00EA7128" w:rsidRDefault="00EA7128">
            <w:pPr>
              <w:rPr>
                <w:sz w:val="22"/>
                <w:szCs w:val="22"/>
              </w:rPr>
            </w:pPr>
            <w:r>
              <w:rPr>
                <w:sz w:val="22"/>
                <w:szCs w:val="22"/>
              </w:rPr>
              <w:t> </w:t>
            </w:r>
          </w:p>
        </w:tc>
        <w:tc>
          <w:tcPr>
            <w:tcW w:w="2710" w:type="pct"/>
            <w:gridSpan w:val="2"/>
            <w:tcBorders>
              <w:top w:val="nil"/>
              <w:left w:val="nil"/>
              <w:bottom w:val="nil"/>
              <w:right w:val="nil"/>
            </w:tcBorders>
            <w:shd w:val="clear" w:color="auto" w:fill="auto"/>
            <w:noWrap/>
            <w:vAlign w:val="bottom"/>
            <w:hideMark/>
          </w:tcPr>
          <w:p w14:paraId="78B70315" w14:textId="77777777" w:rsidR="00EA7128" w:rsidRDefault="00EA7128">
            <w:pPr>
              <w:rPr>
                <w:b/>
                <w:bCs/>
                <w:i/>
                <w:iCs/>
                <w:color w:val="000000"/>
                <w:sz w:val="22"/>
                <w:szCs w:val="22"/>
              </w:rPr>
            </w:pPr>
            <w:r>
              <w:rPr>
                <w:b/>
                <w:bCs/>
                <w:i/>
                <w:iCs/>
                <w:color w:val="000000"/>
                <w:sz w:val="22"/>
                <w:szCs w:val="22"/>
              </w:rPr>
              <w:t>Αποθεματικά και αποτελέσματα εις νέο</w:t>
            </w:r>
          </w:p>
        </w:tc>
        <w:tc>
          <w:tcPr>
            <w:tcW w:w="534" w:type="pct"/>
            <w:tcBorders>
              <w:top w:val="nil"/>
              <w:left w:val="nil"/>
              <w:bottom w:val="nil"/>
              <w:right w:val="nil"/>
            </w:tcBorders>
            <w:shd w:val="clear" w:color="auto" w:fill="auto"/>
            <w:noWrap/>
            <w:vAlign w:val="bottom"/>
            <w:hideMark/>
          </w:tcPr>
          <w:p w14:paraId="1FFE3FC1" w14:textId="77777777" w:rsidR="00EA7128" w:rsidRDefault="00EA7128">
            <w:pPr>
              <w:rPr>
                <w:b/>
                <w:bCs/>
                <w:i/>
                <w:iCs/>
                <w:color w:val="000000"/>
                <w:sz w:val="22"/>
                <w:szCs w:val="22"/>
              </w:rPr>
            </w:pPr>
          </w:p>
        </w:tc>
        <w:tc>
          <w:tcPr>
            <w:tcW w:w="807" w:type="pct"/>
            <w:tcBorders>
              <w:top w:val="nil"/>
              <w:left w:val="single" w:sz="4" w:space="0" w:color="auto"/>
              <w:bottom w:val="nil"/>
              <w:right w:val="nil"/>
            </w:tcBorders>
            <w:shd w:val="clear" w:color="auto" w:fill="auto"/>
            <w:noWrap/>
            <w:vAlign w:val="bottom"/>
            <w:hideMark/>
          </w:tcPr>
          <w:p w14:paraId="77E0A427" w14:textId="77777777" w:rsidR="00EA7128" w:rsidRDefault="00EA7128">
            <w:pPr>
              <w:rPr>
                <w:sz w:val="22"/>
                <w:szCs w:val="22"/>
              </w:rPr>
            </w:pPr>
            <w:r>
              <w:rPr>
                <w:sz w:val="22"/>
                <w:szCs w:val="22"/>
              </w:rPr>
              <w:t> </w:t>
            </w:r>
          </w:p>
        </w:tc>
        <w:tc>
          <w:tcPr>
            <w:tcW w:w="825" w:type="pct"/>
            <w:tcBorders>
              <w:top w:val="nil"/>
              <w:left w:val="single" w:sz="4" w:space="0" w:color="auto"/>
              <w:bottom w:val="nil"/>
              <w:right w:val="single" w:sz="4" w:space="0" w:color="auto"/>
            </w:tcBorders>
            <w:shd w:val="clear" w:color="auto" w:fill="auto"/>
            <w:noWrap/>
            <w:vAlign w:val="bottom"/>
            <w:hideMark/>
          </w:tcPr>
          <w:p w14:paraId="00067298" w14:textId="77777777" w:rsidR="00EA7128" w:rsidRDefault="00EA7128">
            <w:pPr>
              <w:rPr>
                <w:color w:val="000000"/>
                <w:sz w:val="22"/>
                <w:szCs w:val="22"/>
              </w:rPr>
            </w:pPr>
            <w:r>
              <w:rPr>
                <w:color w:val="000000"/>
                <w:sz w:val="22"/>
                <w:szCs w:val="22"/>
              </w:rPr>
              <w:t> </w:t>
            </w:r>
          </w:p>
        </w:tc>
      </w:tr>
      <w:tr w:rsidR="00EA7128" w14:paraId="529658F7" w14:textId="77777777" w:rsidTr="00EA7128">
        <w:trPr>
          <w:trHeight w:val="330"/>
        </w:trPr>
        <w:tc>
          <w:tcPr>
            <w:tcW w:w="123" w:type="pct"/>
            <w:tcBorders>
              <w:top w:val="nil"/>
              <w:left w:val="single" w:sz="4" w:space="0" w:color="auto"/>
              <w:bottom w:val="nil"/>
              <w:right w:val="nil"/>
            </w:tcBorders>
            <w:shd w:val="clear" w:color="auto" w:fill="auto"/>
            <w:noWrap/>
            <w:vAlign w:val="bottom"/>
            <w:hideMark/>
          </w:tcPr>
          <w:p w14:paraId="0F9CDB22" w14:textId="77777777" w:rsidR="00EA7128" w:rsidRDefault="00EA7128">
            <w:pPr>
              <w:rPr>
                <w:sz w:val="22"/>
                <w:szCs w:val="22"/>
              </w:rPr>
            </w:pPr>
            <w:r>
              <w:rPr>
                <w:sz w:val="22"/>
                <w:szCs w:val="22"/>
              </w:rPr>
              <w:t> </w:t>
            </w:r>
          </w:p>
        </w:tc>
        <w:tc>
          <w:tcPr>
            <w:tcW w:w="123" w:type="pct"/>
            <w:tcBorders>
              <w:top w:val="nil"/>
              <w:left w:val="nil"/>
              <w:bottom w:val="nil"/>
              <w:right w:val="nil"/>
            </w:tcBorders>
            <w:shd w:val="clear" w:color="auto" w:fill="auto"/>
            <w:noWrap/>
            <w:vAlign w:val="bottom"/>
            <w:hideMark/>
          </w:tcPr>
          <w:p w14:paraId="0F8F73BA" w14:textId="77777777" w:rsidR="00EA7128" w:rsidRDefault="00EA7128">
            <w:pPr>
              <w:rPr>
                <w:sz w:val="22"/>
                <w:szCs w:val="22"/>
              </w:rPr>
            </w:pPr>
          </w:p>
        </w:tc>
        <w:tc>
          <w:tcPr>
            <w:tcW w:w="2587" w:type="pct"/>
            <w:tcBorders>
              <w:top w:val="nil"/>
              <w:left w:val="nil"/>
              <w:bottom w:val="nil"/>
              <w:right w:val="nil"/>
            </w:tcBorders>
            <w:shd w:val="clear" w:color="auto" w:fill="auto"/>
            <w:noWrap/>
            <w:vAlign w:val="bottom"/>
            <w:hideMark/>
          </w:tcPr>
          <w:p w14:paraId="0D5755B9" w14:textId="77777777" w:rsidR="00EA7128" w:rsidRDefault="00EA7128">
            <w:pPr>
              <w:rPr>
                <w:color w:val="000000"/>
                <w:sz w:val="22"/>
                <w:szCs w:val="22"/>
              </w:rPr>
            </w:pPr>
            <w:r>
              <w:rPr>
                <w:color w:val="000000"/>
                <w:sz w:val="22"/>
                <w:szCs w:val="22"/>
              </w:rPr>
              <w:t>Αποτελέσματα εις νέο</w:t>
            </w:r>
          </w:p>
        </w:tc>
        <w:tc>
          <w:tcPr>
            <w:tcW w:w="534" w:type="pct"/>
            <w:tcBorders>
              <w:top w:val="nil"/>
              <w:left w:val="nil"/>
              <w:bottom w:val="nil"/>
              <w:right w:val="nil"/>
            </w:tcBorders>
            <w:shd w:val="clear" w:color="auto" w:fill="auto"/>
            <w:noWrap/>
            <w:vAlign w:val="bottom"/>
            <w:hideMark/>
          </w:tcPr>
          <w:p w14:paraId="6A804F7F" w14:textId="77777777" w:rsidR="00EA7128" w:rsidRDefault="00EA7128">
            <w:pPr>
              <w:rPr>
                <w:color w:val="000000"/>
                <w:sz w:val="22"/>
                <w:szCs w:val="22"/>
              </w:rPr>
            </w:pPr>
          </w:p>
        </w:tc>
        <w:tc>
          <w:tcPr>
            <w:tcW w:w="807" w:type="pct"/>
            <w:tcBorders>
              <w:top w:val="nil"/>
              <w:left w:val="single" w:sz="4" w:space="0" w:color="auto"/>
              <w:bottom w:val="nil"/>
              <w:right w:val="nil"/>
            </w:tcBorders>
            <w:shd w:val="clear" w:color="auto" w:fill="auto"/>
            <w:noWrap/>
            <w:vAlign w:val="bottom"/>
            <w:hideMark/>
          </w:tcPr>
          <w:p w14:paraId="5776B91C" w14:textId="77777777" w:rsidR="00EA7128" w:rsidRDefault="00EA7128">
            <w:pPr>
              <w:jc w:val="right"/>
              <w:rPr>
                <w:sz w:val="22"/>
                <w:szCs w:val="22"/>
              </w:rPr>
            </w:pPr>
            <w:r>
              <w:rPr>
                <w:sz w:val="22"/>
                <w:szCs w:val="22"/>
              </w:rPr>
              <w:t>-2.830.970,26</w:t>
            </w:r>
          </w:p>
        </w:tc>
        <w:tc>
          <w:tcPr>
            <w:tcW w:w="825" w:type="pct"/>
            <w:tcBorders>
              <w:top w:val="nil"/>
              <w:left w:val="single" w:sz="4" w:space="0" w:color="auto"/>
              <w:bottom w:val="nil"/>
              <w:right w:val="single" w:sz="4" w:space="0" w:color="auto"/>
            </w:tcBorders>
            <w:shd w:val="clear" w:color="auto" w:fill="auto"/>
            <w:noWrap/>
            <w:vAlign w:val="bottom"/>
            <w:hideMark/>
          </w:tcPr>
          <w:p w14:paraId="00A8461C" w14:textId="77777777" w:rsidR="00EA7128" w:rsidRDefault="00EA7128">
            <w:pPr>
              <w:jc w:val="right"/>
              <w:rPr>
                <w:color w:val="000000"/>
                <w:sz w:val="22"/>
                <w:szCs w:val="22"/>
              </w:rPr>
            </w:pPr>
            <w:r>
              <w:rPr>
                <w:color w:val="000000"/>
                <w:sz w:val="22"/>
                <w:szCs w:val="22"/>
              </w:rPr>
              <w:t>-2.830.380,35</w:t>
            </w:r>
          </w:p>
        </w:tc>
      </w:tr>
      <w:tr w:rsidR="00EA7128" w14:paraId="0A2D0D9F" w14:textId="77777777" w:rsidTr="00EA7128">
        <w:trPr>
          <w:trHeight w:val="330"/>
        </w:trPr>
        <w:tc>
          <w:tcPr>
            <w:tcW w:w="123" w:type="pct"/>
            <w:tcBorders>
              <w:top w:val="nil"/>
              <w:left w:val="single" w:sz="4" w:space="0" w:color="auto"/>
              <w:bottom w:val="nil"/>
              <w:right w:val="nil"/>
            </w:tcBorders>
            <w:shd w:val="clear" w:color="auto" w:fill="auto"/>
            <w:noWrap/>
            <w:vAlign w:val="bottom"/>
            <w:hideMark/>
          </w:tcPr>
          <w:p w14:paraId="6CDFEFCB" w14:textId="77777777" w:rsidR="00EA7128" w:rsidRDefault="00EA7128">
            <w:pPr>
              <w:rPr>
                <w:sz w:val="22"/>
                <w:szCs w:val="22"/>
              </w:rPr>
            </w:pPr>
            <w:r>
              <w:rPr>
                <w:sz w:val="22"/>
                <w:szCs w:val="22"/>
              </w:rPr>
              <w:t> </w:t>
            </w:r>
          </w:p>
        </w:tc>
        <w:tc>
          <w:tcPr>
            <w:tcW w:w="123" w:type="pct"/>
            <w:tcBorders>
              <w:top w:val="nil"/>
              <w:left w:val="nil"/>
              <w:bottom w:val="nil"/>
              <w:right w:val="nil"/>
            </w:tcBorders>
            <w:shd w:val="clear" w:color="auto" w:fill="auto"/>
            <w:noWrap/>
            <w:vAlign w:val="bottom"/>
            <w:hideMark/>
          </w:tcPr>
          <w:p w14:paraId="65FF31E9" w14:textId="77777777" w:rsidR="00EA7128" w:rsidRDefault="00EA7128">
            <w:pPr>
              <w:rPr>
                <w:sz w:val="22"/>
                <w:szCs w:val="22"/>
              </w:rPr>
            </w:pPr>
          </w:p>
        </w:tc>
        <w:tc>
          <w:tcPr>
            <w:tcW w:w="2587" w:type="pct"/>
            <w:tcBorders>
              <w:top w:val="nil"/>
              <w:left w:val="nil"/>
              <w:bottom w:val="nil"/>
              <w:right w:val="nil"/>
            </w:tcBorders>
            <w:shd w:val="clear" w:color="auto" w:fill="auto"/>
            <w:noWrap/>
            <w:vAlign w:val="bottom"/>
            <w:hideMark/>
          </w:tcPr>
          <w:p w14:paraId="0A2A9888" w14:textId="77777777" w:rsidR="00EA7128" w:rsidRDefault="00EA7128">
            <w:pPr>
              <w:rPr>
                <w:b/>
                <w:bCs/>
                <w:i/>
                <w:iCs/>
                <w:color w:val="000000"/>
                <w:sz w:val="22"/>
                <w:szCs w:val="22"/>
              </w:rPr>
            </w:pPr>
            <w:r>
              <w:rPr>
                <w:b/>
                <w:bCs/>
                <w:i/>
                <w:iCs/>
                <w:color w:val="000000"/>
                <w:sz w:val="22"/>
                <w:szCs w:val="22"/>
              </w:rPr>
              <w:t>Σύνολο</w:t>
            </w:r>
          </w:p>
        </w:tc>
        <w:tc>
          <w:tcPr>
            <w:tcW w:w="534" w:type="pct"/>
            <w:tcBorders>
              <w:top w:val="nil"/>
              <w:left w:val="nil"/>
              <w:bottom w:val="nil"/>
              <w:right w:val="nil"/>
            </w:tcBorders>
            <w:shd w:val="clear" w:color="auto" w:fill="auto"/>
            <w:noWrap/>
            <w:vAlign w:val="bottom"/>
            <w:hideMark/>
          </w:tcPr>
          <w:p w14:paraId="1F2A4790" w14:textId="77777777" w:rsidR="00EA7128" w:rsidRDefault="00EA7128">
            <w:pPr>
              <w:rPr>
                <w:b/>
                <w:bCs/>
                <w:i/>
                <w:iCs/>
                <w:color w:val="000000"/>
                <w:sz w:val="22"/>
                <w:szCs w:val="22"/>
              </w:rPr>
            </w:pPr>
          </w:p>
        </w:tc>
        <w:tc>
          <w:tcPr>
            <w:tcW w:w="807" w:type="pct"/>
            <w:tcBorders>
              <w:top w:val="single" w:sz="4" w:space="0" w:color="auto"/>
              <w:left w:val="single" w:sz="4" w:space="0" w:color="auto"/>
              <w:bottom w:val="double" w:sz="6" w:space="0" w:color="auto"/>
              <w:right w:val="nil"/>
            </w:tcBorders>
            <w:shd w:val="clear" w:color="auto" w:fill="auto"/>
            <w:noWrap/>
            <w:vAlign w:val="bottom"/>
            <w:hideMark/>
          </w:tcPr>
          <w:p w14:paraId="340834F5" w14:textId="77777777" w:rsidR="00EA7128" w:rsidRDefault="00EA7128">
            <w:pPr>
              <w:jc w:val="right"/>
              <w:rPr>
                <w:b/>
                <w:bCs/>
                <w:i/>
                <w:iCs/>
                <w:sz w:val="22"/>
                <w:szCs w:val="22"/>
              </w:rPr>
            </w:pPr>
            <w:r>
              <w:rPr>
                <w:b/>
                <w:bCs/>
                <w:i/>
                <w:iCs/>
                <w:sz w:val="22"/>
                <w:szCs w:val="22"/>
              </w:rPr>
              <w:t>-2.830.970,26</w:t>
            </w:r>
          </w:p>
        </w:tc>
        <w:tc>
          <w:tcPr>
            <w:tcW w:w="825" w:type="pct"/>
            <w:tcBorders>
              <w:top w:val="single" w:sz="4" w:space="0" w:color="auto"/>
              <w:left w:val="single" w:sz="4" w:space="0" w:color="auto"/>
              <w:bottom w:val="double" w:sz="6" w:space="0" w:color="auto"/>
              <w:right w:val="single" w:sz="4" w:space="0" w:color="auto"/>
            </w:tcBorders>
            <w:shd w:val="clear" w:color="auto" w:fill="auto"/>
            <w:noWrap/>
            <w:vAlign w:val="bottom"/>
            <w:hideMark/>
          </w:tcPr>
          <w:p w14:paraId="39E46615" w14:textId="77777777" w:rsidR="00EA7128" w:rsidRDefault="00EA7128">
            <w:pPr>
              <w:jc w:val="right"/>
              <w:rPr>
                <w:b/>
                <w:bCs/>
                <w:i/>
                <w:iCs/>
                <w:color w:val="000000"/>
                <w:sz w:val="22"/>
                <w:szCs w:val="22"/>
              </w:rPr>
            </w:pPr>
            <w:r>
              <w:rPr>
                <w:b/>
                <w:bCs/>
                <w:i/>
                <w:iCs/>
                <w:color w:val="000000"/>
                <w:sz w:val="22"/>
                <w:szCs w:val="22"/>
              </w:rPr>
              <w:t>-2.830.380,35</w:t>
            </w:r>
          </w:p>
        </w:tc>
      </w:tr>
      <w:tr w:rsidR="00EA7128" w14:paraId="04175566" w14:textId="77777777" w:rsidTr="00EA7128">
        <w:trPr>
          <w:trHeight w:val="330"/>
        </w:trPr>
        <w:tc>
          <w:tcPr>
            <w:tcW w:w="123" w:type="pct"/>
            <w:tcBorders>
              <w:top w:val="nil"/>
              <w:left w:val="single" w:sz="4" w:space="0" w:color="auto"/>
              <w:bottom w:val="nil"/>
              <w:right w:val="nil"/>
            </w:tcBorders>
            <w:shd w:val="clear" w:color="auto" w:fill="auto"/>
            <w:noWrap/>
            <w:vAlign w:val="bottom"/>
            <w:hideMark/>
          </w:tcPr>
          <w:p w14:paraId="7D704601" w14:textId="77777777" w:rsidR="00EA7128" w:rsidRDefault="00EA7128">
            <w:pPr>
              <w:rPr>
                <w:sz w:val="22"/>
                <w:szCs w:val="22"/>
              </w:rPr>
            </w:pPr>
            <w:r>
              <w:rPr>
                <w:sz w:val="22"/>
                <w:szCs w:val="22"/>
              </w:rPr>
              <w:t> </w:t>
            </w:r>
          </w:p>
        </w:tc>
        <w:tc>
          <w:tcPr>
            <w:tcW w:w="123" w:type="pct"/>
            <w:tcBorders>
              <w:top w:val="nil"/>
              <w:left w:val="nil"/>
              <w:bottom w:val="nil"/>
              <w:right w:val="nil"/>
            </w:tcBorders>
            <w:shd w:val="clear" w:color="auto" w:fill="auto"/>
            <w:noWrap/>
            <w:vAlign w:val="bottom"/>
            <w:hideMark/>
          </w:tcPr>
          <w:p w14:paraId="573A8BDF" w14:textId="77777777" w:rsidR="00EA7128" w:rsidRDefault="00EA7128">
            <w:pPr>
              <w:rPr>
                <w:sz w:val="22"/>
                <w:szCs w:val="22"/>
              </w:rPr>
            </w:pPr>
          </w:p>
        </w:tc>
        <w:tc>
          <w:tcPr>
            <w:tcW w:w="2587" w:type="pct"/>
            <w:tcBorders>
              <w:top w:val="nil"/>
              <w:left w:val="nil"/>
              <w:bottom w:val="nil"/>
              <w:right w:val="nil"/>
            </w:tcBorders>
            <w:shd w:val="clear" w:color="auto" w:fill="auto"/>
            <w:noWrap/>
            <w:vAlign w:val="bottom"/>
            <w:hideMark/>
          </w:tcPr>
          <w:p w14:paraId="7C14DF6C" w14:textId="77777777" w:rsidR="00EA7128" w:rsidRDefault="00EA7128">
            <w:pPr>
              <w:rPr>
                <w:b/>
                <w:bCs/>
                <w:color w:val="000000"/>
                <w:sz w:val="22"/>
                <w:szCs w:val="22"/>
              </w:rPr>
            </w:pPr>
            <w:r>
              <w:rPr>
                <w:b/>
                <w:bCs/>
                <w:color w:val="000000"/>
                <w:sz w:val="22"/>
                <w:szCs w:val="22"/>
              </w:rPr>
              <w:t>Σύνολο καθαρής θέσης</w:t>
            </w:r>
          </w:p>
        </w:tc>
        <w:tc>
          <w:tcPr>
            <w:tcW w:w="534" w:type="pct"/>
            <w:tcBorders>
              <w:top w:val="nil"/>
              <w:left w:val="nil"/>
              <w:bottom w:val="nil"/>
              <w:right w:val="nil"/>
            </w:tcBorders>
            <w:shd w:val="clear" w:color="auto" w:fill="auto"/>
            <w:noWrap/>
            <w:vAlign w:val="bottom"/>
            <w:hideMark/>
          </w:tcPr>
          <w:p w14:paraId="47CC2446" w14:textId="77777777" w:rsidR="00EA7128" w:rsidRDefault="00EA7128">
            <w:pPr>
              <w:rPr>
                <w:b/>
                <w:bCs/>
                <w:color w:val="000000"/>
                <w:sz w:val="22"/>
                <w:szCs w:val="22"/>
              </w:rPr>
            </w:pPr>
          </w:p>
        </w:tc>
        <w:tc>
          <w:tcPr>
            <w:tcW w:w="807" w:type="pct"/>
            <w:tcBorders>
              <w:top w:val="single" w:sz="4" w:space="0" w:color="auto"/>
              <w:left w:val="single" w:sz="4" w:space="0" w:color="auto"/>
              <w:bottom w:val="double" w:sz="6" w:space="0" w:color="auto"/>
              <w:right w:val="nil"/>
            </w:tcBorders>
            <w:shd w:val="clear" w:color="auto" w:fill="auto"/>
            <w:noWrap/>
            <w:vAlign w:val="bottom"/>
            <w:hideMark/>
          </w:tcPr>
          <w:p w14:paraId="7D987CF3" w14:textId="77777777" w:rsidR="00EA7128" w:rsidRDefault="00EA7128">
            <w:pPr>
              <w:jc w:val="right"/>
              <w:rPr>
                <w:b/>
                <w:bCs/>
                <w:i/>
                <w:iCs/>
                <w:sz w:val="22"/>
                <w:szCs w:val="22"/>
              </w:rPr>
            </w:pPr>
            <w:r>
              <w:rPr>
                <w:b/>
                <w:bCs/>
                <w:i/>
                <w:iCs/>
                <w:sz w:val="22"/>
                <w:szCs w:val="22"/>
              </w:rPr>
              <w:t>-488.970,26</w:t>
            </w:r>
          </w:p>
        </w:tc>
        <w:tc>
          <w:tcPr>
            <w:tcW w:w="825" w:type="pct"/>
            <w:tcBorders>
              <w:top w:val="single" w:sz="4" w:space="0" w:color="auto"/>
              <w:left w:val="single" w:sz="4" w:space="0" w:color="auto"/>
              <w:bottom w:val="double" w:sz="6" w:space="0" w:color="auto"/>
              <w:right w:val="single" w:sz="4" w:space="0" w:color="auto"/>
            </w:tcBorders>
            <w:shd w:val="clear" w:color="auto" w:fill="auto"/>
            <w:noWrap/>
            <w:vAlign w:val="bottom"/>
            <w:hideMark/>
          </w:tcPr>
          <w:p w14:paraId="5DFE6937" w14:textId="77777777" w:rsidR="00EA7128" w:rsidRDefault="00EA7128">
            <w:pPr>
              <w:jc w:val="right"/>
              <w:rPr>
                <w:b/>
                <w:bCs/>
                <w:i/>
                <w:iCs/>
                <w:color w:val="000000"/>
                <w:sz w:val="22"/>
                <w:szCs w:val="22"/>
              </w:rPr>
            </w:pPr>
            <w:r>
              <w:rPr>
                <w:b/>
                <w:bCs/>
                <w:i/>
                <w:iCs/>
                <w:color w:val="000000"/>
                <w:sz w:val="22"/>
                <w:szCs w:val="22"/>
              </w:rPr>
              <w:t>-488.380,35</w:t>
            </w:r>
          </w:p>
        </w:tc>
      </w:tr>
      <w:tr w:rsidR="00EA7128" w14:paraId="234B34BC" w14:textId="77777777" w:rsidTr="00EA7128">
        <w:trPr>
          <w:trHeight w:val="330"/>
        </w:trPr>
        <w:tc>
          <w:tcPr>
            <w:tcW w:w="2833" w:type="pct"/>
            <w:gridSpan w:val="3"/>
            <w:tcBorders>
              <w:top w:val="nil"/>
              <w:left w:val="single" w:sz="4" w:space="0" w:color="auto"/>
              <w:bottom w:val="nil"/>
              <w:right w:val="nil"/>
            </w:tcBorders>
            <w:shd w:val="clear" w:color="auto" w:fill="auto"/>
            <w:noWrap/>
            <w:vAlign w:val="bottom"/>
            <w:hideMark/>
          </w:tcPr>
          <w:p w14:paraId="0E33EB8C" w14:textId="77777777" w:rsidR="00EA7128" w:rsidRDefault="00EA7128">
            <w:pPr>
              <w:rPr>
                <w:b/>
                <w:bCs/>
                <w:color w:val="000000"/>
                <w:sz w:val="22"/>
                <w:szCs w:val="22"/>
              </w:rPr>
            </w:pPr>
            <w:r>
              <w:rPr>
                <w:b/>
                <w:bCs/>
                <w:color w:val="000000"/>
                <w:sz w:val="22"/>
                <w:szCs w:val="22"/>
              </w:rPr>
              <w:t>Υποχρεώσεις</w:t>
            </w:r>
          </w:p>
        </w:tc>
        <w:tc>
          <w:tcPr>
            <w:tcW w:w="534" w:type="pct"/>
            <w:tcBorders>
              <w:top w:val="nil"/>
              <w:left w:val="nil"/>
              <w:bottom w:val="nil"/>
              <w:right w:val="nil"/>
            </w:tcBorders>
            <w:shd w:val="clear" w:color="auto" w:fill="auto"/>
            <w:noWrap/>
            <w:vAlign w:val="bottom"/>
            <w:hideMark/>
          </w:tcPr>
          <w:p w14:paraId="78E003E4" w14:textId="77777777" w:rsidR="00EA7128" w:rsidRDefault="00EA7128">
            <w:pPr>
              <w:rPr>
                <w:b/>
                <w:bCs/>
                <w:color w:val="000000"/>
                <w:sz w:val="22"/>
                <w:szCs w:val="22"/>
              </w:rPr>
            </w:pPr>
          </w:p>
        </w:tc>
        <w:tc>
          <w:tcPr>
            <w:tcW w:w="807" w:type="pct"/>
            <w:tcBorders>
              <w:top w:val="nil"/>
              <w:left w:val="single" w:sz="4" w:space="0" w:color="auto"/>
              <w:bottom w:val="nil"/>
              <w:right w:val="nil"/>
            </w:tcBorders>
            <w:shd w:val="clear" w:color="auto" w:fill="auto"/>
            <w:noWrap/>
            <w:vAlign w:val="bottom"/>
            <w:hideMark/>
          </w:tcPr>
          <w:p w14:paraId="45023E36" w14:textId="77777777" w:rsidR="00EA7128" w:rsidRDefault="00EA7128">
            <w:pPr>
              <w:rPr>
                <w:sz w:val="22"/>
                <w:szCs w:val="22"/>
              </w:rPr>
            </w:pPr>
            <w:r>
              <w:rPr>
                <w:sz w:val="22"/>
                <w:szCs w:val="22"/>
              </w:rPr>
              <w:t> </w:t>
            </w:r>
          </w:p>
        </w:tc>
        <w:tc>
          <w:tcPr>
            <w:tcW w:w="825" w:type="pct"/>
            <w:tcBorders>
              <w:top w:val="nil"/>
              <w:left w:val="single" w:sz="4" w:space="0" w:color="auto"/>
              <w:bottom w:val="nil"/>
              <w:right w:val="single" w:sz="4" w:space="0" w:color="auto"/>
            </w:tcBorders>
            <w:shd w:val="clear" w:color="auto" w:fill="auto"/>
            <w:noWrap/>
            <w:vAlign w:val="bottom"/>
            <w:hideMark/>
          </w:tcPr>
          <w:p w14:paraId="0219652E" w14:textId="77777777" w:rsidR="00EA7128" w:rsidRDefault="00EA7128">
            <w:pPr>
              <w:rPr>
                <w:color w:val="000000"/>
                <w:sz w:val="22"/>
                <w:szCs w:val="22"/>
              </w:rPr>
            </w:pPr>
            <w:r>
              <w:rPr>
                <w:color w:val="000000"/>
                <w:sz w:val="22"/>
                <w:szCs w:val="22"/>
              </w:rPr>
              <w:t> </w:t>
            </w:r>
          </w:p>
        </w:tc>
      </w:tr>
      <w:tr w:rsidR="00EA7128" w14:paraId="41558A0C" w14:textId="77777777" w:rsidTr="00EA7128">
        <w:trPr>
          <w:trHeight w:val="330"/>
        </w:trPr>
        <w:tc>
          <w:tcPr>
            <w:tcW w:w="123" w:type="pct"/>
            <w:tcBorders>
              <w:top w:val="nil"/>
              <w:left w:val="single" w:sz="4" w:space="0" w:color="auto"/>
              <w:bottom w:val="nil"/>
              <w:right w:val="nil"/>
            </w:tcBorders>
            <w:shd w:val="clear" w:color="auto" w:fill="auto"/>
            <w:noWrap/>
            <w:vAlign w:val="bottom"/>
            <w:hideMark/>
          </w:tcPr>
          <w:p w14:paraId="1732CB6C" w14:textId="77777777" w:rsidR="00EA7128" w:rsidRDefault="00EA7128">
            <w:pPr>
              <w:rPr>
                <w:sz w:val="22"/>
                <w:szCs w:val="22"/>
              </w:rPr>
            </w:pPr>
            <w:r>
              <w:rPr>
                <w:sz w:val="22"/>
                <w:szCs w:val="22"/>
              </w:rPr>
              <w:t> </w:t>
            </w:r>
          </w:p>
        </w:tc>
        <w:tc>
          <w:tcPr>
            <w:tcW w:w="2710" w:type="pct"/>
            <w:gridSpan w:val="2"/>
            <w:tcBorders>
              <w:top w:val="nil"/>
              <w:left w:val="nil"/>
              <w:bottom w:val="nil"/>
              <w:right w:val="nil"/>
            </w:tcBorders>
            <w:shd w:val="clear" w:color="auto" w:fill="auto"/>
            <w:noWrap/>
            <w:vAlign w:val="bottom"/>
            <w:hideMark/>
          </w:tcPr>
          <w:p w14:paraId="12B29E6B" w14:textId="77777777" w:rsidR="00EA7128" w:rsidRDefault="00EA7128">
            <w:pPr>
              <w:rPr>
                <w:b/>
                <w:bCs/>
                <w:i/>
                <w:iCs/>
                <w:color w:val="000000"/>
                <w:sz w:val="22"/>
                <w:szCs w:val="22"/>
              </w:rPr>
            </w:pPr>
            <w:r>
              <w:rPr>
                <w:b/>
                <w:bCs/>
                <w:i/>
                <w:iCs/>
                <w:color w:val="000000"/>
                <w:sz w:val="22"/>
                <w:szCs w:val="22"/>
              </w:rPr>
              <w:t>Βραχυπρόθεσμες υποχρεώσεις</w:t>
            </w:r>
          </w:p>
        </w:tc>
        <w:tc>
          <w:tcPr>
            <w:tcW w:w="534" w:type="pct"/>
            <w:tcBorders>
              <w:top w:val="nil"/>
              <w:left w:val="nil"/>
              <w:bottom w:val="nil"/>
              <w:right w:val="nil"/>
            </w:tcBorders>
            <w:shd w:val="clear" w:color="auto" w:fill="auto"/>
            <w:noWrap/>
            <w:vAlign w:val="bottom"/>
            <w:hideMark/>
          </w:tcPr>
          <w:p w14:paraId="69741A7A" w14:textId="77777777" w:rsidR="00EA7128" w:rsidRDefault="00EA7128">
            <w:pPr>
              <w:rPr>
                <w:b/>
                <w:bCs/>
                <w:i/>
                <w:iCs/>
                <w:color w:val="000000"/>
                <w:sz w:val="22"/>
                <w:szCs w:val="22"/>
              </w:rPr>
            </w:pPr>
          </w:p>
        </w:tc>
        <w:tc>
          <w:tcPr>
            <w:tcW w:w="807" w:type="pct"/>
            <w:tcBorders>
              <w:top w:val="nil"/>
              <w:left w:val="single" w:sz="4" w:space="0" w:color="auto"/>
              <w:bottom w:val="nil"/>
              <w:right w:val="nil"/>
            </w:tcBorders>
            <w:shd w:val="clear" w:color="auto" w:fill="auto"/>
            <w:noWrap/>
            <w:vAlign w:val="bottom"/>
            <w:hideMark/>
          </w:tcPr>
          <w:p w14:paraId="2628AF96" w14:textId="77777777" w:rsidR="00EA7128" w:rsidRDefault="00EA7128">
            <w:pPr>
              <w:rPr>
                <w:sz w:val="22"/>
                <w:szCs w:val="22"/>
              </w:rPr>
            </w:pPr>
            <w:r>
              <w:rPr>
                <w:sz w:val="22"/>
                <w:szCs w:val="22"/>
              </w:rPr>
              <w:t> </w:t>
            </w:r>
          </w:p>
        </w:tc>
        <w:tc>
          <w:tcPr>
            <w:tcW w:w="825" w:type="pct"/>
            <w:tcBorders>
              <w:top w:val="nil"/>
              <w:left w:val="single" w:sz="4" w:space="0" w:color="auto"/>
              <w:bottom w:val="nil"/>
              <w:right w:val="single" w:sz="4" w:space="0" w:color="auto"/>
            </w:tcBorders>
            <w:shd w:val="clear" w:color="auto" w:fill="auto"/>
            <w:noWrap/>
            <w:vAlign w:val="bottom"/>
            <w:hideMark/>
          </w:tcPr>
          <w:p w14:paraId="01E4CB3D" w14:textId="77777777" w:rsidR="00EA7128" w:rsidRDefault="00EA7128">
            <w:pPr>
              <w:rPr>
                <w:color w:val="000000"/>
                <w:sz w:val="22"/>
                <w:szCs w:val="22"/>
              </w:rPr>
            </w:pPr>
            <w:r>
              <w:rPr>
                <w:color w:val="000000"/>
                <w:sz w:val="22"/>
                <w:szCs w:val="22"/>
              </w:rPr>
              <w:t> </w:t>
            </w:r>
          </w:p>
        </w:tc>
      </w:tr>
      <w:tr w:rsidR="00EA7128" w14:paraId="1C4A96FA" w14:textId="77777777" w:rsidTr="00EA7128">
        <w:trPr>
          <w:trHeight w:val="330"/>
        </w:trPr>
        <w:tc>
          <w:tcPr>
            <w:tcW w:w="123" w:type="pct"/>
            <w:tcBorders>
              <w:top w:val="nil"/>
              <w:left w:val="single" w:sz="4" w:space="0" w:color="auto"/>
              <w:bottom w:val="nil"/>
              <w:right w:val="nil"/>
            </w:tcBorders>
            <w:shd w:val="clear" w:color="auto" w:fill="auto"/>
            <w:noWrap/>
            <w:vAlign w:val="bottom"/>
            <w:hideMark/>
          </w:tcPr>
          <w:p w14:paraId="099DD29F" w14:textId="77777777" w:rsidR="00EA7128" w:rsidRDefault="00EA7128">
            <w:pPr>
              <w:rPr>
                <w:sz w:val="22"/>
                <w:szCs w:val="22"/>
              </w:rPr>
            </w:pPr>
            <w:r>
              <w:rPr>
                <w:sz w:val="22"/>
                <w:szCs w:val="22"/>
              </w:rPr>
              <w:t> </w:t>
            </w:r>
          </w:p>
        </w:tc>
        <w:tc>
          <w:tcPr>
            <w:tcW w:w="123" w:type="pct"/>
            <w:tcBorders>
              <w:top w:val="nil"/>
              <w:left w:val="nil"/>
              <w:bottom w:val="nil"/>
              <w:right w:val="nil"/>
            </w:tcBorders>
            <w:shd w:val="clear" w:color="auto" w:fill="auto"/>
            <w:noWrap/>
            <w:vAlign w:val="bottom"/>
            <w:hideMark/>
          </w:tcPr>
          <w:p w14:paraId="06A5C33B" w14:textId="77777777" w:rsidR="00EA7128" w:rsidRDefault="00EA7128">
            <w:pPr>
              <w:rPr>
                <w:sz w:val="22"/>
                <w:szCs w:val="22"/>
              </w:rPr>
            </w:pPr>
          </w:p>
        </w:tc>
        <w:tc>
          <w:tcPr>
            <w:tcW w:w="2587" w:type="pct"/>
            <w:tcBorders>
              <w:top w:val="nil"/>
              <w:left w:val="nil"/>
              <w:bottom w:val="nil"/>
              <w:right w:val="nil"/>
            </w:tcBorders>
            <w:shd w:val="clear" w:color="auto" w:fill="auto"/>
            <w:noWrap/>
            <w:vAlign w:val="bottom"/>
            <w:hideMark/>
          </w:tcPr>
          <w:p w14:paraId="203F5B05" w14:textId="77777777" w:rsidR="00EA7128" w:rsidRDefault="00EA7128">
            <w:pPr>
              <w:rPr>
                <w:color w:val="000000"/>
                <w:sz w:val="22"/>
                <w:szCs w:val="22"/>
              </w:rPr>
            </w:pPr>
            <w:r>
              <w:rPr>
                <w:color w:val="000000"/>
                <w:sz w:val="22"/>
                <w:szCs w:val="22"/>
              </w:rPr>
              <w:t>Εμπορικές υποχρεώσεις</w:t>
            </w:r>
          </w:p>
        </w:tc>
        <w:tc>
          <w:tcPr>
            <w:tcW w:w="534" w:type="pct"/>
            <w:tcBorders>
              <w:top w:val="nil"/>
              <w:left w:val="nil"/>
              <w:bottom w:val="nil"/>
              <w:right w:val="nil"/>
            </w:tcBorders>
            <w:shd w:val="clear" w:color="auto" w:fill="auto"/>
            <w:noWrap/>
            <w:vAlign w:val="bottom"/>
            <w:hideMark/>
          </w:tcPr>
          <w:p w14:paraId="39938537" w14:textId="77777777" w:rsidR="00EA7128" w:rsidRDefault="00EA7128">
            <w:pPr>
              <w:jc w:val="center"/>
              <w:rPr>
                <w:color w:val="000000"/>
                <w:sz w:val="22"/>
                <w:szCs w:val="22"/>
              </w:rPr>
            </w:pPr>
            <w:r>
              <w:rPr>
                <w:color w:val="000000"/>
                <w:sz w:val="22"/>
                <w:szCs w:val="22"/>
              </w:rPr>
              <w:t>10.2.1</w:t>
            </w:r>
          </w:p>
        </w:tc>
        <w:tc>
          <w:tcPr>
            <w:tcW w:w="807" w:type="pct"/>
            <w:tcBorders>
              <w:top w:val="nil"/>
              <w:left w:val="single" w:sz="4" w:space="0" w:color="auto"/>
              <w:bottom w:val="nil"/>
              <w:right w:val="nil"/>
            </w:tcBorders>
            <w:shd w:val="clear" w:color="auto" w:fill="auto"/>
            <w:noWrap/>
            <w:vAlign w:val="bottom"/>
            <w:hideMark/>
          </w:tcPr>
          <w:p w14:paraId="6B6A63DF" w14:textId="77777777" w:rsidR="00EA7128" w:rsidRDefault="00EA7128">
            <w:pPr>
              <w:jc w:val="right"/>
              <w:rPr>
                <w:sz w:val="22"/>
                <w:szCs w:val="22"/>
              </w:rPr>
            </w:pPr>
            <w:r>
              <w:rPr>
                <w:sz w:val="22"/>
                <w:szCs w:val="22"/>
              </w:rPr>
              <w:t>882,98</w:t>
            </w:r>
          </w:p>
        </w:tc>
        <w:tc>
          <w:tcPr>
            <w:tcW w:w="825" w:type="pct"/>
            <w:tcBorders>
              <w:top w:val="nil"/>
              <w:left w:val="single" w:sz="4" w:space="0" w:color="auto"/>
              <w:bottom w:val="nil"/>
              <w:right w:val="single" w:sz="4" w:space="0" w:color="auto"/>
            </w:tcBorders>
            <w:shd w:val="clear" w:color="auto" w:fill="auto"/>
            <w:noWrap/>
            <w:vAlign w:val="bottom"/>
            <w:hideMark/>
          </w:tcPr>
          <w:p w14:paraId="6B865A7E" w14:textId="77777777" w:rsidR="00EA7128" w:rsidRDefault="00EA7128">
            <w:pPr>
              <w:jc w:val="right"/>
              <w:rPr>
                <w:color w:val="000000"/>
                <w:sz w:val="22"/>
                <w:szCs w:val="22"/>
              </w:rPr>
            </w:pPr>
            <w:r>
              <w:rPr>
                <w:color w:val="000000"/>
                <w:sz w:val="22"/>
                <w:szCs w:val="22"/>
              </w:rPr>
              <w:t>751,39</w:t>
            </w:r>
          </w:p>
        </w:tc>
      </w:tr>
      <w:tr w:rsidR="00EA7128" w14:paraId="7981EABA" w14:textId="77777777" w:rsidTr="00EA7128">
        <w:trPr>
          <w:trHeight w:val="330"/>
        </w:trPr>
        <w:tc>
          <w:tcPr>
            <w:tcW w:w="123" w:type="pct"/>
            <w:tcBorders>
              <w:top w:val="nil"/>
              <w:left w:val="single" w:sz="4" w:space="0" w:color="auto"/>
              <w:bottom w:val="nil"/>
              <w:right w:val="nil"/>
            </w:tcBorders>
            <w:shd w:val="clear" w:color="auto" w:fill="auto"/>
            <w:noWrap/>
            <w:vAlign w:val="bottom"/>
            <w:hideMark/>
          </w:tcPr>
          <w:p w14:paraId="748EAA64" w14:textId="77777777" w:rsidR="00EA7128" w:rsidRDefault="00EA7128">
            <w:pPr>
              <w:rPr>
                <w:sz w:val="22"/>
                <w:szCs w:val="22"/>
              </w:rPr>
            </w:pPr>
            <w:r>
              <w:rPr>
                <w:sz w:val="22"/>
                <w:szCs w:val="22"/>
              </w:rPr>
              <w:t> </w:t>
            </w:r>
          </w:p>
        </w:tc>
        <w:tc>
          <w:tcPr>
            <w:tcW w:w="123" w:type="pct"/>
            <w:tcBorders>
              <w:top w:val="nil"/>
              <w:left w:val="nil"/>
              <w:bottom w:val="nil"/>
              <w:right w:val="nil"/>
            </w:tcBorders>
            <w:shd w:val="clear" w:color="auto" w:fill="auto"/>
            <w:noWrap/>
            <w:vAlign w:val="bottom"/>
            <w:hideMark/>
          </w:tcPr>
          <w:p w14:paraId="202BB9AA" w14:textId="77777777" w:rsidR="00EA7128" w:rsidRDefault="00EA7128">
            <w:pPr>
              <w:rPr>
                <w:sz w:val="22"/>
                <w:szCs w:val="22"/>
              </w:rPr>
            </w:pPr>
          </w:p>
        </w:tc>
        <w:tc>
          <w:tcPr>
            <w:tcW w:w="2587" w:type="pct"/>
            <w:tcBorders>
              <w:top w:val="nil"/>
              <w:left w:val="nil"/>
              <w:bottom w:val="nil"/>
              <w:right w:val="nil"/>
            </w:tcBorders>
            <w:shd w:val="clear" w:color="auto" w:fill="auto"/>
            <w:noWrap/>
            <w:vAlign w:val="bottom"/>
            <w:hideMark/>
          </w:tcPr>
          <w:p w14:paraId="487E61A2" w14:textId="77777777" w:rsidR="00EA7128" w:rsidRDefault="00EA7128">
            <w:pPr>
              <w:rPr>
                <w:color w:val="000000"/>
                <w:sz w:val="22"/>
                <w:szCs w:val="22"/>
              </w:rPr>
            </w:pPr>
            <w:r>
              <w:rPr>
                <w:color w:val="000000"/>
                <w:sz w:val="22"/>
                <w:szCs w:val="22"/>
              </w:rPr>
              <w:t>Λοιποί φόροι και τέλη</w:t>
            </w:r>
          </w:p>
        </w:tc>
        <w:tc>
          <w:tcPr>
            <w:tcW w:w="534" w:type="pct"/>
            <w:tcBorders>
              <w:top w:val="nil"/>
              <w:left w:val="nil"/>
              <w:bottom w:val="nil"/>
              <w:right w:val="nil"/>
            </w:tcBorders>
            <w:shd w:val="clear" w:color="auto" w:fill="auto"/>
            <w:noWrap/>
            <w:vAlign w:val="bottom"/>
            <w:hideMark/>
          </w:tcPr>
          <w:p w14:paraId="33746A81" w14:textId="77777777" w:rsidR="00EA7128" w:rsidRDefault="00EA7128">
            <w:pPr>
              <w:rPr>
                <w:color w:val="000000"/>
                <w:sz w:val="22"/>
                <w:szCs w:val="22"/>
              </w:rPr>
            </w:pPr>
          </w:p>
        </w:tc>
        <w:tc>
          <w:tcPr>
            <w:tcW w:w="807" w:type="pct"/>
            <w:tcBorders>
              <w:top w:val="nil"/>
              <w:left w:val="single" w:sz="4" w:space="0" w:color="auto"/>
              <w:bottom w:val="nil"/>
              <w:right w:val="nil"/>
            </w:tcBorders>
            <w:shd w:val="clear" w:color="auto" w:fill="auto"/>
            <w:noWrap/>
            <w:vAlign w:val="bottom"/>
            <w:hideMark/>
          </w:tcPr>
          <w:p w14:paraId="1426AADC" w14:textId="77777777" w:rsidR="00EA7128" w:rsidRDefault="00EA7128">
            <w:pPr>
              <w:jc w:val="right"/>
              <w:rPr>
                <w:sz w:val="22"/>
                <w:szCs w:val="22"/>
              </w:rPr>
            </w:pPr>
            <w:r>
              <w:rPr>
                <w:sz w:val="22"/>
                <w:szCs w:val="22"/>
              </w:rPr>
              <w:t>350,00</w:t>
            </w:r>
          </w:p>
        </w:tc>
        <w:tc>
          <w:tcPr>
            <w:tcW w:w="825" w:type="pct"/>
            <w:tcBorders>
              <w:top w:val="nil"/>
              <w:left w:val="single" w:sz="4" w:space="0" w:color="auto"/>
              <w:bottom w:val="nil"/>
              <w:right w:val="single" w:sz="4" w:space="0" w:color="auto"/>
            </w:tcBorders>
            <w:shd w:val="clear" w:color="auto" w:fill="auto"/>
            <w:noWrap/>
            <w:vAlign w:val="bottom"/>
            <w:hideMark/>
          </w:tcPr>
          <w:p w14:paraId="2A758527" w14:textId="77777777" w:rsidR="00EA7128" w:rsidRDefault="00EA7128">
            <w:pPr>
              <w:jc w:val="right"/>
              <w:rPr>
                <w:color w:val="000000"/>
                <w:sz w:val="22"/>
                <w:szCs w:val="22"/>
              </w:rPr>
            </w:pPr>
            <w:r>
              <w:rPr>
                <w:color w:val="000000"/>
                <w:sz w:val="22"/>
                <w:szCs w:val="22"/>
              </w:rPr>
              <w:t>0,00</w:t>
            </w:r>
          </w:p>
        </w:tc>
      </w:tr>
      <w:tr w:rsidR="00EA7128" w14:paraId="5B1655B4" w14:textId="77777777" w:rsidTr="00EA7128">
        <w:trPr>
          <w:trHeight w:val="330"/>
        </w:trPr>
        <w:tc>
          <w:tcPr>
            <w:tcW w:w="123" w:type="pct"/>
            <w:tcBorders>
              <w:top w:val="nil"/>
              <w:left w:val="single" w:sz="4" w:space="0" w:color="auto"/>
              <w:bottom w:val="nil"/>
              <w:right w:val="nil"/>
            </w:tcBorders>
            <w:shd w:val="clear" w:color="auto" w:fill="auto"/>
            <w:noWrap/>
            <w:vAlign w:val="bottom"/>
            <w:hideMark/>
          </w:tcPr>
          <w:p w14:paraId="0816DF4E" w14:textId="77777777" w:rsidR="00EA7128" w:rsidRDefault="00EA7128">
            <w:pPr>
              <w:rPr>
                <w:sz w:val="22"/>
                <w:szCs w:val="22"/>
              </w:rPr>
            </w:pPr>
            <w:r>
              <w:rPr>
                <w:sz w:val="22"/>
                <w:szCs w:val="22"/>
              </w:rPr>
              <w:t> </w:t>
            </w:r>
          </w:p>
        </w:tc>
        <w:tc>
          <w:tcPr>
            <w:tcW w:w="123" w:type="pct"/>
            <w:tcBorders>
              <w:top w:val="nil"/>
              <w:left w:val="nil"/>
              <w:bottom w:val="nil"/>
              <w:right w:val="nil"/>
            </w:tcBorders>
            <w:shd w:val="clear" w:color="auto" w:fill="auto"/>
            <w:noWrap/>
            <w:vAlign w:val="bottom"/>
            <w:hideMark/>
          </w:tcPr>
          <w:p w14:paraId="70815F04" w14:textId="77777777" w:rsidR="00EA7128" w:rsidRDefault="00EA7128">
            <w:pPr>
              <w:rPr>
                <w:sz w:val="22"/>
                <w:szCs w:val="22"/>
              </w:rPr>
            </w:pPr>
          </w:p>
        </w:tc>
        <w:tc>
          <w:tcPr>
            <w:tcW w:w="2587" w:type="pct"/>
            <w:tcBorders>
              <w:top w:val="nil"/>
              <w:left w:val="nil"/>
              <w:bottom w:val="nil"/>
              <w:right w:val="nil"/>
            </w:tcBorders>
            <w:shd w:val="clear" w:color="auto" w:fill="auto"/>
            <w:noWrap/>
            <w:vAlign w:val="bottom"/>
            <w:hideMark/>
          </w:tcPr>
          <w:p w14:paraId="2E2718B0" w14:textId="77777777" w:rsidR="00EA7128" w:rsidRDefault="00EA7128">
            <w:pPr>
              <w:rPr>
                <w:color w:val="000000"/>
                <w:sz w:val="22"/>
                <w:szCs w:val="22"/>
              </w:rPr>
            </w:pPr>
            <w:r>
              <w:rPr>
                <w:color w:val="000000"/>
                <w:sz w:val="22"/>
                <w:szCs w:val="22"/>
              </w:rPr>
              <w:t>Λοιπές υποχρεώσεις</w:t>
            </w:r>
          </w:p>
        </w:tc>
        <w:tc>
          <w:tcPr>
            <w:tcW w:w="534" w:type="pct"/>
            <w:tcBorders>
              <w:top w:val="nil"/>
              <w:left w:val="nil"/>
              <w:bottom w:val="nil"/>
              <w:right w:val="nil"/>
            </w:tcBorders>
            <w:shd w:val="clear" w:color="auto" w:fill="auto"/>
            <w:noWrap/>
            <w:vAlign w:val="bottom"/>
            <w:hideMark/>
          </w:tcPr>
          <w:p w14:paraId="2CEAD1B5" w14:textId="77777777" w:rsidR="00EA7128" w:rsidRDefault="00EA7128">
            <w:pPr>
              <w:jc w:val="center"/>
              <w:rPr>
                <w:color w:val="000000"/>
                <w:sz w:val="22"/>
                <w:szCs w:val="22"/>
              </w:rPr>
            </w:pPr>
            <w:r>
              <w:rPr>
                <w:color w:val="000000"/>
                <w:sz w:val="22"/>
                <w:szCs w:val="22"/>
              </w:rPr>
              <w:t>10.2.2</w:t>
            </w:r>
          </w:p>
        </w:tc>
        <w:tc>
          <w:tcPr>
            <w:tcW w:w="807" w:type="pct"/>
            <w:tcBorders>
              <w:top w:val="nil"/>
              <w:left w:val="single" w:sz="4" w:space="0" w:color="auto"/>
              <w:bottom w:val="nil"/>
              <w:right w:val="nil"/>
            </w:tcBorders>
            <w:shd w:val="clear" w:color="auto" w:fill="auto"/>
            <w:noWrap/>
            <w:vAlign w:val="bottom"/>
            <w:hideMark/>
          </w:tcPr>
          <w:p w14:paraId="477BE851" w14:textId="77777777" w:rsidR="00EA7128" w:rsidRDefault="00EA7128">
            <w:pPr>
              <w:jc w:val="right"/>
              <w:rPr>
                <w:sz w:val="22"/>
                <w:szCs w:val="22"/>
              </w:rPr>
            </w:pPr>
            <w:r>
              <w:rPr>
                <w:sz w:val="22"/>
                <w:szCs w:val="22"/>
              </w:rPr>
              <w:t>602.675,00</w:t>
            </w:r>
          </w:p>
        </w:tc>
        <w:tc>
          <w:tcPr>
            <w:tcW w:w="825" w:type="pct"/>
            <w:tcBorders>
              <w:top w:val="nil"/>
              <w:left w:val="single" w:sz="4" w:space="0" w:color="auto"/>
              <w:bottom w:val="nil"/>
              <w:right w:val="single" w:sz="4" w:space="0" w:color="auto"/>
            </w:tcBorders>
            <w:shd w:val="clear" w:color="auto" w:fill="auto"/>
            <w:noWrap/>
            <w:vAlign w:val="bottom"/>
            <w:hideMark/>
          </w:tcPr>
          <w:p w14:paraId="778C43EA" w14:textId="77777777" w:rsidR="00EA7128" w:rsidRDefault="00EA7128">
            <w:pPr>
              <w:jc w:val="right"/>
              <w:rPr>
                <w:color w:val="000000"/>
                <w:sz w:val="22"/>
                <w:szCs w:val="22"/>
              </w:rPr>
            </w:pPr>
            <w:r>
              <w:rPr>
                <w:color w:val="000000"/>
                <w:sz w:val="22"/>
                <w:szCs w:val="22"/>
              </w:rPr>
              <w:t>602.882,20</w:t>
            </w:r>
          </w:p>
        </w:tc>
      </w:tr>
      <w:tr w:rsidR="00EA7128" w14:paraId="0653BA15" w14:textId="77777777" w:rsidTr="00EA7128">
        <w:trPr>
          <w:trHeight w:val="330"/>
        </w:trPr>
        <w:tc>
          <w:tcPr>
            <w:tcW w:w="123" w:type="pct"/>
            <w:tcBorders>
              <w:top w:val="nil"/>
              <w:left w:val="single" w:sz="4" w:space="0" w:color="auto"/>
              <w:bottom w:val="nil"/>
              <w:right w:val="nil"/>
            </w:tcBorders>
            <w:shd w:val="clear" w:color="auto" w:fill="auto"/>
            <w:noWrap/>
            <w:vAlign w:val="bottom"/>
            <w:hideMark/>
          </w:tcPr>
          <w:p w14:paraId="02E2B13D" w14:textId="77777777" w:rsidR="00EA7128" w:rsidRDefault="00EA7128">
            <w:pPr>
              <w:rPr>
                <w:sz w:val="22"/>
                <w:szCs w:val="22"/>
              </w:rPr>
            </w:pPr>
            <w:r>
              <w:rPr>
                <w:sz w:val="22"/>
                <w:szCs w:val="22"/>
              </w:rPr>
              <w:t> </w:t>
            </w:r>
          </w:p>
        </w:tc>
        <w:tc>
          <w:tcPr>
            <w:tcW w:w="123" w:type="pct"/>
            <w:tcBorders>
              <w:top w:val="nil"/>
              <w:left w:val="nil"/>
              <w:bottom w:val="nil"/>
              <w:right w:val="nil"/>
            </w:tcBorders>
            <w:shd w:val="clear" w:color="auto" w:fill="auto"/>
            <w:noWrap/>
            <w:vAlign w:val="bottom"/>
            <w:hideMark/>
          </w:tcPr>
          <w:p w14:paraId="4DB61247" w14:textId="77777777" w:rsidR="00EA7128" w:rsidRDefault="00EA7128">
            <w:pPr>
              <w:rPr>
                <w:sz w:val="22"/>
                <w:szCs w:val="22"/>
              </w:rPr>
            </w:pPr>
          </w:p>
        </w:tc>
        <w:tc>
          <w:tcPr>
            <w:tcW w:w="2587" w:type="pct"/>
            <w:tcBorders>
              <w:top w:val="nil"/>
              <w:left w:val="nil"/>
              <w:bottom w:val="nil"/>
              <w:right w:val="nil"/>
            </w:tcBorders>
            <w:shd w:val="clear" w:color="auto" w:fill="auto"/>
            <w:noWrap/>
            <w:vAlign w:val="bottom"/>
            <w:hideMark/>
          </w:tcPr>
          <w:p w14:paraId="5CE81293" w14:textId="77777777" w:rsidR="00EA7128" w:rsidRDefault="00EA7128">
            <w:pPr>
              <w:rPr>
                <w:b/>
                <w:bCs/>
                <w:i/>
                <w:iCs/>
                <w:color w:val="000000"/>
                <w:sz w:val="22"/>
                <w:szCs w:val="22"/>
              </w:rPr>
            </w:pPr>
            <w:r>
              <w:rPr>
                <w:b/>
                <w:bCs/>
                <w:i/>
                <w:iCs/>
                <w:color w:val="000000"/>
                <w:sz w:val="22"/>
                <w:szCs w:val="22"/>
              </w:rPr>
              <w:t>Σύνολο</w:t>
            </w:r>
          </w:p>
        </w:tc>
        <w:tc>
          <w:tcPr>
            <w:tcW w:w="534" w:type="pct"/>
            <w:tcBorders>
              <w:top w:val="nil"/>
              <w:left w:val="nil"/>
              <w:bottom w:val="nil"/>
              <w:right w:val="nil"/>
            </w:tcBorders>
            <w:shd w:val="clear" w:color="auto" w:fill="auto"/>
            <w:noWrap/>
            <w:vAlign w:val="bottom"/>
            <w:hideMark/>
          </w:tcPr>
          <w:p w14:paraId="4E1D67A5" w14:textId="77777777" w:rsidR="00EA7128" w:rsidRDefault="00EA7128">
            <w:pPr>
              <w:rPr>
                <w:b/>
                <w:bCs/>
                <w:i/>
                <w:iCs/>
                <w:color w:val="000000"/>
                <w:sz w:val="22"/>
                <w:szCs w:val="22"/>
              </w:rPr>
            </w:pPr>
          </w:p>
        </w:tc>
        <w:tc>
          <w:tcPr>
            <w:tcW w:w="807" w:type="pct"/>
            <w:tcBorders>
              <w:top w:val="single" w:sz="4" w:space="0" w:color="auto"/>
              <w:left w:val="single" w:sz="4" w:space="0" w:color="auto"/>
              <w:bottom w:val="double" w:sz="6" w:space="0" w:color="auto"/>
              <w:right w:val="nil"/>
            </w:tcBorders>
            <w:shd w:val="clear" w:color="auto" w:fill="auto"/>
            <w:noWrap/>
            <w:vAlign w:val="bottom"/>
            <w:hideMark/>
          </w:tcPr>
          <w:p w14:paraId="591E0167" w14:textId="77777777" w:rsidR="00EA7128" w:rsidRDefault="00EA7128">
            <w:pPr>
              <w:jc w:val="right"/>
              <w:rPr>
                <w:b/>
                <w:bCs/>
                <w:i/>
                <w:iCs/>
                <w:sz w:val="22"/>
                <w:szCs w:val="22"/>
              </w:rPr>
            </w:pPr>
            <w:r>
              <w:rPr>
                <w:b/>
                <w:bCs/>
                <w:i/>
                <w:iCs/>
                <w:sz w:val="22"/>
                <w:szCs w:val="22"/>
              </w:rPr>
              <w:t>603.907,98</w:t>
            </w:r>
          </w:p>
        </w:tc>
        <w:tc>
          <w:tcPr>
            <w:tcW w:w="825" w:type="pct"/>
            <w:tcBorders>
              <w:top w:val="single" w:sz="4" w:space="0" w:color="auto"/>
              <w:left w:val="single" w:sz="4" w:space="0" w:color="auto"/>
              <w:bottom w:val="double" w:sz="6" w:space="0" w:color="auto"/>
              <w:right w:val="single" w:sz="4" w:space="0" w:color="auto"/>
            </w:tcBorders>
            <w:shd w:val="clear" w:color="auto" w:fill="auto"/>
            <w:noWrap/>
            <w:vAlign w:val="bottom"/>
            <w:hideMark/>
          </w:tcPr>
          <w:p w14:paraId="6F28ABCD" w14:textId="77777777" w:rsidR="00EA7128" w:rsidRDefault="00EA7128">
            <w:pPr>
              <w:jc w:val="right"/>
              <w:rPr>
                <w:b/>
                <w:bCs/>
                <w:i/>
                <w:iCs/>
                <w:color w:val="000000"/>
                <w:sz w:val="22"/>
                <w:szCs w:val="22"/>
              </w:rPr>
            </w:pPr>
            <w:r>
              <w:rPr>
                <w:b/>
                <w:bCs/>
                <w:i/>
                <w:iCs/>
                <w:color w:val="000000"/>
                <w:sz w:val="22"/>
                <w:szCs w:val="22"/>
              </w:rPr>
              <w:t>603.633,59</w:t>
            </w:r>
          </w:p>
        </w:tc>
      </w:tr>
      <w:tr w:rsidR="00EA7128" w14:paraId="78AF70F8" w14:textId="77777777" w:rsidTr="00EA7128">
        <w:trPr>
          <w:trHeight w:val="330"/>
        </w:trPr>
        <w:tc>
          <w:tcPr>
            <w:tcW w:w="123" w:type="pct"/>
            <w:tcBorders>
              <w:top w:val="nil"/>
              <w:left w:val="single" w:sz="4" w:space="0" w:color="auto"/>
              <w:bottom w:val="nil"/>
              <w:right w:val="nil"/>
            </w:tcBorders>
            <w:shd w:val="clear" w:color="auto" w:fill="auto"/>
            <w:noWrap/>
            <w:vAlign w:val="bottom"/>
            <w:hideMark/>
          </w:tcPr>
          <w:p w14:paraId="55166C9A" w14:textId="77777777" w:rsidR="00EA7128" w:rsidRDefault="00EA7128">
            <w:pPr>
              <w:rPr>
                <w:sz w:val="22"/>
                <w:szCs w:val="22"/>
              </w:rPr>
            </w:pPr>
            <w:r>
              <w:rPr>
                <w:sz w:val="22"/>
                <w:szCs w:val="22"/>
              </w:rPr>
              <w:t> </w:t>
            </w:r>
          </w:p>
        </w:tc>
        <w:tc>
          <w:tcPr>
            <w:tcW w:w="123" w:type="pct"/>
            <w:tcBorders>
              <w:top w:val="nil"/>
              <w:left w:val="nil"/>
              <w:bottom w:val="nil"/>
              <w:right w:val="nil"/>
            </w:tcBorders>
            <w:shd w:val="clear" w:color="auto" w:fill="auto"/>
            <w:noWrap/>
            <w:vAlign w:val="bottom"/>
            <w:hideMark/>
          </w:tcPr>
          <w:p w14:paraId="585139E5" w14:textId="77777777" w:rsidR="00EA7128" w:rsidRDefault="00EA7128">
            <w:pPr>
              <w:rPr>
                <w:sz w:val="22"/>
                <w:szCs w:val="22"/>
              </w:rPr>
            </w:pPr>
          </w:p>
        </w:tc>
        <w:tc>
          <w:tcPr>
            <w:tcW w:w="2587" w:type="pct"/>
            <w:tcBorders>
              <w:top w:val="nil"/>
              <w:left w:val="nil"/>
              <w:bottom w:val="nil"/>
              <w:right w:val="nil"/>
            </w:tcBorders>
            <w:shd w:val="clear" w:color="auto" w:fill="auto"/>
            <w:noWrap/>
            <w:vAlign w:val="bottom"/>
            <w:hideMark/>
          </w:tcPr>
          <w:p w14:paraId="3F26D9E3" w14:textId="77777777" w:rsidR="00EA7128" w:rsidRDefault="00EA7128">
            <w:pPr>
              <w:rPr>
                <w:b/>
                <w:bCs/>
                <w:color w:val="000000"/>
                <w:sz w:val="22"/>
                <w:szCs w:val="22"/>
              </w:rPr>
            </w:pPr>
            <w:r>
              <w:rPr>
                <w:b/>
                <w:bCs/>
                <w:color w:val="000000"/>
                <w:sz w:val="22"/>
                <w:szCs w:val="22"/>
              </w:rPr>
              <w:t>Σύνολο υποχρεώσεων</w:t>
            </w:r>
          </w:p>
        </w:tc>
        <w:tc>
          <w:tcPr>
            <w:tcW w:w="534" w:type="pct"/>
            <w:tcBorders>
              <w:top w:val="nil"/>
              <w:left w:val="nil"/>
              <w:bottom w:val="nil"/>
              <w:right w:val="nil"/>
            </w:tcBorders>
            <w:shd w:val="clear" w:color="auto" w:fill="auto"/>
            <w:vAlign w:val="bottom"/>
            <w:hideMark/>
          </w:tcPr>
          <w:p w14:paraId="5081AF2F" w14:textId="77777777" w:rsidR="00EA7128" w:rsidRDefault="00EA7128">
            <w:pPr>
              <w:rPr>
                <w:b/>
                <w:bCs/>
                <w:color w:val="000000"/>
                <w:sz w:val="22"/>
                <w:szCs w:val="22"/>
              </w:rPr>
            </w:pPr>
          </w:p>
        </w:tc>
        <w:tc>
          <w:tcPr>
            <w:tcW w:w="807" w:type="pct"/>
            <w:tcBorders>
              <w:top w:val="single" w:sz="4" w:space="0" w:color="auto"/>
              <w:left w:val="single" w:sz="4" w:space="0" w:color="auto"/>
              <w:bottom w:val="double" w:sz="6" w:space="0" w:color="auto"/>
              <w:right w:val="nil"/>
            </w:tcBorders>
            <w:shd w:val="clear" w:color="auto" w:fill="auto"/>
            <w:noWrap/>
            <w:vAlign w:val="bottom"/>
            <w:hideMark/>
          </w:tcPr>
          <w:p w14:paraId="1A2A7020" w14:textId="77777777" w:rsidR="00EA7128" w:rsidRDefault="00EA7128">
            <w:pPr>
              <w:jc w:val="right"/>
              <w:rPr>
                <w:b/>
                <w:bCs/>
                <w:sz w:val="22"/>
                <w:szCs w:val="22"/>
              </w:rPr>
            </w:pPr>
            <w:r>
              <w:rPr>
                <w:b/>
                <w:bCs/>
                <w:sz w:val="22"/>
                <w:szCs w:val="22"/>
              </w:rPr>
              <w:t>603.907,98</w:t>
            </w:r>
          </w:p>
        </w:tc>
        <w:tc>
          <w:tcPr>
            <w:tcW w:w="825" w:type="pct"/>
            <w:tcBorders>
              <w:top w:val="single" w:sz="4" w:space="0" w:color="auto"/>
              <w:left w:val="single" w:sz="4" w:space="0" w:color="auto"/>
              <w:bottom w:val="double" w:sz="6" w:space="0" w:color="auto"/>
              <w:right w:val="single" w:sz="4" w:space="0" w:color="auto"/>
            </w:tcBorders>
            <w:shd w:val="clear" w:color="auto" w:fill="auto"/>
            <w:noWrap/>
            <w:vAlign w:val="bottom"/>
            <w:hideMark/>
          </w:tcPr>
          <w:p w14:paraId="691C2B21" w14:textId="77777777" w:rsidR="00EA7128" w:rsidRDefault="00EA7128">
            <w:pPr>
              <w:jc w:val="right"/>
              <w:rPr>
                <w:b/>
                <w:bCs/>
                <w:color w:val="000000"/>
                <w:sz w:val="22"/>
                <w:szCs w:val="22"/>
              </w:rPr>
            </w:pPr>
            <w:r>
              <w:rPr>
                <w:b/>
                <w:bCs/>
                <w:color w:val="000000"/>
                <w:sz w:val="22"/>
                <w:szCs w:val="22"/>
              </w:rPr>
              <w:t>603.633,59</w:t>
            </w:r>
          </w:p>
        </w:tc>
      </w:tr>
      <w:tr w:rsidR="00EA7128" w14:paraId="5BD693E4" w14:textId="77777777" w:rsidTr="00EA7128">
        <w:trPr>
          <w:trHeight w:val="330"/>
        </w:trPr>
        <w:tc>
          <w:tcPr>
            <w:tcW w:w="123" w:type="pct"/>
            <w:tcBorders>
              <w:top w:val="nil"/>
              <w:left w:val="single" w:sz="4" w:space="0" w:color="auto"/>
              <w:bottom w:val="single" w:sz="4" w:space="0" w:color="auto"/>
              <w:right w:val="nil"/>
            </w:tcBorders>
            <w:shd w:val="clear" w:color="auto" w:fill="auto"/>
            <w:noWrap/>
            <w:vAlign w:val="bottom"/>
            <w:hideMark/>
          </w:tcPr>
          <w:p w14:paraId="7D8DCE14" w14:textId="77777777" w:rsidR="00EA7128" w:rsidRDefault="00EA7128">
            <w:pPr>
              <w:rPr>
                <w:sz w:val="22"/>
                <w:szCs w:val="22"/>
              </w:rPr>
            </w:pPr>
            <w:r>
              <w:rPr>
                <w:sz w:val="22"/>
                <w:szCs w:val="22"/>
              </w:rPr>
              <w:t> </w:t>
            </w:r>
          </w:p>
        </w:tc>
        <w:tc>
          <w:tcPr>
            <w:tcW w:w="123" w:type="pct"/>
            <w:tcBorders>
              <w:top w:val="nil"/>
              <w:left w:val="nil"/>
              <w:bottom w:val="single" w:sz="4" w:space="0" w:color="auto"/>
              <w:right w:val="nil"/>
            </w:tcBorders>
            <w:shd w:val="clear" w:color="auto" w:fill="auto"/>
            <w:noWrap/>
            <w:vAlign w:val="bottom"/>
            <w:hideMark/>
          </w:tcPr>
          <w:p w14:paraId="4427DC5D" w14:textId="77777777" w:rsidR="00EA7128" w:rsidRDefault="00EA7128">
            <w:pPr>
              <w:rPr>
                <w:sz w:val="22"/>
                <w:szCs w:val="22"/>
              </w:rPr>
            </w:pPr>
            <w:r>
              <w:rPr>
                <w:sz w:val="22"/>
                <w:szCs w:val="22"/>
              </w:rPr>
              <w:t> </w:t>
            </w:r>
          </w:p>
        </w:tc>
        <w:tc>
          <w:tcPr>
            <w:tcW w:w="3121" w:type="pct"/>
            <w:gridSpan w:val="2"/>
            <w:tcBorders>
              <w:top w:val="nil"/>
              <w:left w:val="nil"/>
              <w:bottom w:val="single" w:sz="4" w:space="0" w:color="auto"/>
              <w:right w:val="nil"/>
            </w:tcBorders>
            <w:shd w:val="clear" w:color="auto" w:fill="auto"/>
            <w:noWrap/>
            <w:vAlign w:val="bottom"/>
            <w:hideMark/>
          </w:tcPr>
          <w:p w14:paraId="483DA271" w14:textId="77777777" w:rsidR="00EA7128" w:rsidRDefault="00EA7128">
            <w:pPr>
              <w:rPr>
                <w:b/>
                <w:bCs/>
                <w:color w:val="000000"/>
                <w:sz w:val="22"/>
                <w:szCs w:val="22"/>
              </w:rPr>
            </w:pPr>
            <w:r>
              <w:rPr>
                <w:b/>
                <w:bCs/>
                <w:color w:val="000000"/>
                <w:sz w:val="22"/>
                <w:szCs w:val="22"/>
              </w:rPr>
              <w:t>Σύνολο καθαρής θέσης, προβλέψεων και υποχρεώσεων</w:t>
            </w:r>
          </w:p>
        </w:tc>
        <w:tc>
          <w:tcPr>
            <w:tcW w:w="807" w:type="pct"/>
            <w:tcBorders>
              <w:top w:val="single" w:sz="4" w:space="0" w:color="auto"/>
              <w:left w:val="single" w:sz="4" w:space="0" w:color="auto"/>
              <w:bottom w:val="single" w:sz="4" w:space="0" w:color="auto"/>
              <w:right w:val="nil"/>
            </w:tcBorders>
            <w:shd w:val="clear" w:color="auto" w:fill="auto"/>
            <w:noWrap/>
            <w:vAlign w:val="bottom"/>
            <w:hideMark/>
          </w:tcPr>
          <w:p w14:paraId="7F8DADE7" w14:textId="77777777" w:rsidR="00EA7128" w:rsidRDefault="00EA7128">
            <w:pPr>
              <w:jc w:val="right"/>
              <w:rPr>
                <w:b/>
                <w:bCs/>
                <w:sz w:val="22"/>
                <w:szCs w:val="22"/>
              </w:rPr>
            </w:pPr>
            <w:r>
              <w:rPr>
                <w:b/>
                <w:bCs/>
                <w:sz w:val="22"/>
                <w:szCs w:val="22"/>
              </w:rPr>
              <w:t>114.937,72</w:t>
            </w:r>
          </w:p>
        </w:tc>
        <w:tc>
          <w:tcPr>
            <w:tcW w:w="82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55637C" w14:textId="77777777" w:rsidR="00EA7128" w:rsidRDefault="00EA7128">
            <w:pPr>
              <w:jc w:val="right"/>
              <w:rPr>
                <w:b/>
                <w:bCs/>
                <w:color w:val="000000"/>
                <w:sz w:val="22"/>
                <w:szCs w:val="22"/>
              </w:rPr>
            </w:pPr>
            <w:r>
              <w:rPr>
                <w:b/>
                <w:bCs/>
                <w:color w:val="000000"/>
                <w:sz w:val="22"/>
                <w:szCs w:val="22"/>
              </w:rPr>
              <w:t>115.253,24</w:t>
            </w:r>
          </w:p>
        </w:tc>
      </w:tr>
    </w:tbl>
    <w:p w14:paraId="51F477CE" w14:textId="77777777" w:rsidR="00F14C81" w:rsidRPr="00A131AE" w:rsidRDefault="00F14C81">
      <w:pPr>
        <w:tabs>
          <w:tab w:val="left" w:pos="5253"/>
          <w:tab w:val="left" w:pos="6062"/>
          <w:tab w:val="left" w:pos="7542"/>
        </w:tabs>
        <w:ind w:left="93"/>
        <w:rPr>
          <w:b/>
          <w:bCs/>
          <w:color w:val="000000"/>
          <w:sz w:val="18"/>
          <w:szCs w:val="18"/>
          <w:highlight w:val="yellow"/>
        </w:rPr>
      </w:pPr>
    </w:p>
    <w:p w14:paraId="2AA4FBD8" w14:textId="77777777" w:rsidR="00F14C81" w:rsidRPr="00A131AE" w:rsidRDefault="00F14C81" w:rsidP="00F14C81">
      <w:pPr>
        <w:rPr>
          <w:highlight w:val="yellow"/>
        </w:rPr>
      </w:pPr>
    </w:p>
    <w:p w14:paraId="165E576D" w14:textId="77777777" w:rsidR="00614F01" w:rsidRPr="001D11B6" w:rsidRDefault="00F14C81" w:rsidP="004A2266">
      <w:pPr>
        <w:pStyle w:val="1"/>
        <w:jc w:val="left"/>
        <w:rPr>
          <w:lang w:val="en-US"/>
        </w:rPr>
      </w:pPr>
      <w:r w:rsidRPr="00A131AE">
        <w:rPr>
          <w:highlight w:val="yellow"/>
        </w:rPr>
        <w:br w:type="page"/>
      </w:r>
      <w:bookmarkStart w:id="7" w:name="_Toc488058529"/>
      <w:bookmarkStart w:id="8" w:name="_Toc15545990"/>
      <w:r w:rsidR="00614F01" w:rsidRPr="001D11B6">
        <w:lastRenderedPageBreak/>
        <w:t>ΚΑΤΑΣΤΑΣΗ ΑΠΟΤΕΛΕΣΜΑΤΩΝ κατά ΛΕΙΤΟΥΡΓΙΑ</w:t>
      </w:r>
      <w:bookmarkEnd w:id="7"/>
      <w:bookmarkEnd w:id="8"/>
    </w:p>
    <w:p w14:paraId="3C4CAECA" w14:textId="77777777" w:rsidR="00FF3764" w:rsidRPr="00A131AE" w:rsidRDefault="00FF3764" w:rsidP="00442E06">
      <w:pPr>
        <w:shd w:val="clear" w:color="auto" w:fill="FFFFFF"/>
        <w:spacing w:after="200" w:line="276" w:lineRule="auto"/>
        <w:ind w:left="5" w:right="14" w:hanging="5"/>
        <w:rPr>
          <w:b/>
          <w:sz w:val="22"/>
          <w:szCs w:val="22"/>
          <w:highlight w:val="yellow"/>
          <w:lang w:val="en-US"/>
        </w:rPr>
      </w:pPr>
    </w:p>
    <w:tbl>
      <w:tblPr>
        <w:tblW w:w="9960" w:type="dxa"/>
        <w:tblLook w:val="04A0" w:firstRow="1" w:lastRow="0" w:firstColumn="1" w:lastColumn="0" w:noHBand="0" w:noVBand="1"/>
      </w:tblPr>
      <w:tblGrid>
        <w:gridCol w:w="5260"/>
        <w:gridCol w:w="760"/>
        <w:gridCol w:w="2020"/>
        <w:gridCol w:w="1920"/>
      </w:tblGrid>
      <w:tr w:rsidR="00EA7128" w14:paraId="41D72E37" w14:textId="77777777" w:rsidTr="00EA7128">
        <w:trPr>
          <w:trHeight w:val="300"/>
        </w:trPr>
        <w:tc>
          <w:tcPr>
            <w:tcW w:w="5260" w:type="dxa"/>
            <w:tcBorders>
              <w:top w:val="single" w:sz="8" w:space="0" w:color="auto"/>
              <w:left w:val="single" w:sz="8" w:space="0" w:color="auto"/>
              <w:bottom w:val="single" w:sz="8" w:space="0" w:color="auto"/>
              <w:right w:val="nil"/>
            </w:tcBorders>
            <w:shd w:val="clear" w:color="auto" w:fill="auto"/>
            <w:vAlign w:val="bottom"/>
            <w:hideMark/>
          </w:tcPr>
          <w:p w14:paraId="64DA4C14" w14:textId="77777777" w:rsidR="00EA7128" w:rsidRDefault="00EA7128">
            <w:pPr>
              <w:rPr>
                <w:b/>
                <w:bCs/>
                <w:i/>
                <w:iCs/>
                <w:color w:val="000000"/>
                <w:sz w:val="22"/>
                <w:szCs w:val="22"/>
              </w:rPr>
            </w:pPr>
            <w:r>
              <w:rPr>
                <w:b/>
                <w:bCs/>
                <w:i/>
                <w:iCs/>
                <w:color w:val="000000"/>
                <w:sz w:val="22"/>
                <w:szCs w:val="22"/>
              </w:rPr>
              <w:t> </w:t>
            </w:r>
          </w:p>
        </w:tc>
        <w:tc>
          <w:tcPr>
            <w:tcW w:w="760" w:type="dxa"/>
            <w:tcBorders>
              <w:top w:val="single" w:sz="8" w:space="0" w:color="auto"/>
              <w:left w:val="nil"/>
              <w:bottom w:val="single" w:sz="8" w:space="0" w:color="auto"/>
              <w:right w:val="single" w:sz="8" w:space="0" w:color="auto"/>
            </w:tcBorders>
            <w:shd w:val="clear" w:color="auto" w:fill="auto"/>
            <w:vAlign w:val="bottom"/>
            <w:hideMark/>
          </w:tcPr>
          <w:p w14:paraId="25A58D29" w14:textId="77777777" w:rsidR="00EA7128" w:rsidRDefault="00EA7128">
            <w:pPr>
              <w:jc w:val="center"/>
              <w:rPr>
                <w:b/>
                <w:bCs/>
                <w:color w:val="000000"/>
                <w:sz w:val="22"/>
                <w:szCs w:val="22"/>
              </w:rPr>
            </w:pPr>
            <w:r>
              <w:rPr>
                <w:b/>
                <w:bCs/>
                <w:color w:val="000000"/>
                <w:sz w:val="22"/>
                <w:szCs w:val="22"/>
              </w:rPr>
              <w:t>Σημ.</w:t>
            </w:r>
          </w:p>
        </w:tc>
        <w:tc>
          <w:tcPr>
            <w:tcW w:w="2020" w:type="dxa"/>
            <w:tcBorders>
              <w:top w:val="single" w:sz="8" w:space="0" w:color="auto"/>
              <w:left w:val="nil"/>
              <w:bottom w:val="single" w:sz="8" w:space="0" w:color="auto"/>
              <w:right w:val="single" w:sz="8" w:space="0" w:color="auto"/>
            </w:tcBorders>
            <w:shd w:val="clear" w:color="auto" w:fill="auto"/>
            <w:vAlign w:val="bottom"/>
            <w:hideMark/>
          </w:tcPr>
          <w:p w14:paraId="5B2514F7" w14:textId="77777777" w:rsidR="00EA7128" w:rsidRDefault="00EA7128">
            <w:pPr>
              <w:jc w:val="center"/>
              <w:rPr>
                <w:b/>
                <w:bCs/>
                <w:color w:val="000000"/>
                <w:sz w:val="22"/>
                <w:szCs w:val="22"/>
              </w:rPr>
            </w:pPr>
            <w:r>
              <w:rPr>
                <w:b/>
                <w:bCs/>
                <w:color w:val="000000"/>
                <w:sz w:val="22"/>
                <w:szCs w:val="22"/>
              </w:rPr>
              <w:t>31/12/20</w:t>
            </w:r>
          </w:p>
        </w:tc>
        <w:tc>
          <w:tcPr>
            <w:tcW w:w="1920" w:type="dxa"/>
            <w:tcBorders>
              <w:top w:val="single" w:sz="8" w:space="0" w:color="auto"/>
              <w:left w:val="nil"/>
              <w:bottom w:val="single" w:sz="8" w:space="0" w:color="auto"/>
              <w:right w:val="single" w:sz="8" w:space="0" w:color="auto"/>
            </w:tcBorders>
            <w:shd w:val="clear" w:color="auto" w:fill="auto"/>
            <w:vAlign w:val="bottom"/>
            <w:hideMark/>
          </w:tcPr>
          <w:p w14:paraId="38A234FA" w14:textId="77777777" w:rsidR="00EA7128" w:rsidRDefault="00EA7128">
            <w:pPr>
              <w:jc w:val="center"/>
              <w:rPr>
                <w:b/>
                <w:bCs/>
                <w:color w:val="000000"/>
                <w:sz w:val="22"/>
                <w:szCs w:val="22"/>
              </w:rPr>
            </w:pPr>
            <w:r>
              <w:rPr>
                <w:b/>
                <w:bCs/>
                <w:color w:val="000000"/>
                <w:sz w:val="22"/>
                <w:szCs w:val="22"/>
              </w:rPr>
              <w:t>31/12/19</w:t>
            </w:r>
          </w:p>
        </w:tc>
      </w:tr>
      <w:tr w:rsidR="00EA7128" w14:paraId="2C10A158" w14:textId="77777777" w:rsidTr="00EA7128">
        <w:trPr>
          <w:trHeight w:val="288"/>
        </w:trPr>
        <w:tc>
          <w:tcPr>
            <w:tcW w:w="5260" w:type="dxa"/>
            <w:tcBorders>
              <w:top w:val="nil"/>
              <w:left w:val="single" w:sz="8" w:space="0" w:color="auto"/>
              <w:bottom w:val="nil"/>
              <w:right w:val="nil"/>
            </w:tcBorders>
            <w:shd w:val="clear" w:color="auto" w:fill="auto"/>
            <w:vAlign w:val="bottom"/>
            <w:hideMark/>
          </w:tcPr>
          <w:p w14:paraId="7714D42F" w14:textId="77777777" w:rsidR="00EA7128" w:rsidRDefault="00EA7128">
            <w:pPr>
              <w:rPr>
                <w:b/>
                <w:bCs/>
                <w:i/>
                <w:iCs/>
                <w:color w:val="000000"/>
                <w:sz w:val="22"/>
                <w:szCs w:val="22"/>
              </w:rPr>
            </w:pPr>
            <w:r>
              <w:rPr>
                <w:b/>
                <w:bCs/>
                <w:i/>
                <w:iCs/>
                <w:color w:val="000000"/>
                <w:sz w:val="22"/>
                <w:szCs w:val="22"/>
              </w:rPr>
              <w:t> </w:t>
            </w:r>
          </w:p>
        </w:tc>
        <w:tc>
          <w:tcPr>
            <w:tcW w:w="760" w:type="dxa"/>
            <w:tcBorders>
              <w:top w:val="nil"/>
              <w:left w:val="nil"/>
              <w:bottom w:val="nil"/>
              <w:right w:val="single" w:sz="8" w:space="0" w:color="auto"/>
            </w:tcBorders>
            <w:shd w:val="clear" w:color="auto" w:fill="auto"/>
            <w:vAlign w:val="bottom"/>
            <w:hideMark/>
          </w:tcPr>
          <w:p w14:paraId="751D17F7" w14:textId="77777777" w:rsidR="00EA7128" w:rsidRDefault="00EA7128">
            <w:pPr>
              <w:jc w:val="center"/>
              <w:rPr>
                <w:b/>
                <w:bCs/>
                <w:color w:val="000000"/>
                <w:sz w:val="22"/>
                <w:szCs w:val="22"/>
              </w:rPr>
            </w:pPr>
            <w:r>
              <w:rPr>
                <w:b/>
                <w:bCs/>
                <w:color w:val="000000"/>
                <w:sz w:val="22"/>
                <w:szCs w:val="22"/>
              </w:rPr>
              <w:t> </w:t>
            </w:r>
          </w:p>
        </w:tc>
        <w:tc>
          <w:tcPr>
            <w:tcW w:w="2020" w:type="dxa"/>
            <w:tcBorders>
              <w:top w:val="nil"/>
              <w:left w:val="nil"/>
              <w:bottom w:val="nil"/>
              <w:right w:val="single" w:sz="8" w:space="0" w:color="auto"/>
            </w:tcBorders>
            <w:shd w:val="clear" w:color="auto" w:fill="auto"/>
            <w:vAlign w:val="bottom"/>
            <w:hideMark/>
          </w:tcPr>
          <w:p w14:paraId="782D5989" w14:textId="77777777" w:rsidR="00EA7128" w:rsidRDefault="00EA7128">
            <w:pPr>
              <w:jc w:val="center"/>
              <w:rPr>
                <w:b/>
                <w:bCs/>
                <w:color w:val="000000"/>
                <w:sz w:val="22"/>
                <w:szCs w:val="22"/>
              </w:rPr>
            </w:pPr>
            <w:r>
              <w:rPr>
                <w:b/>
                <w:bCs/>
                <w:color w:val="000000"/>
                <w:sz w:val="22"/>
                <w:szCs w:val="22"/>
              </w:rPr>
              <w:t> </w:t>
            </w:r>
          </w:p>
        </w:tc>
        <w:tc>
          <w:tcPr>
            <w:tcW w:w="1920" w:type="dxa"/>
            <w:tcBorders>
              <w:top w:val="nil"/>
              <w:left w:val="nil"/>
              <w:bottom w:val="nil"/>
              <w:right w:val="single" w:sz="8" w:space="0" w:color="auto"/>
            </w:tcBorders>
            <w:shd w:val="clear" w:color="auto" w:fill="auto"/>
            <w:vAlign w:val="bottom"/>
            <w:hideMark/>
          </w:tcPr>
          <w:p w14:paraId="7ED0D1E1" w14:textId="77777777" w:rsidR="00EA7128" w:rsidRDefault="00EA7128">
            <w:pPr>
              <w:jc w:val="center"/>
              <w:rPr>
                <w:b/>
                <w:bCs/>
                <w:color w:val="000000"/>
                <w:sz w:val="22"/>
                <w:szCs w:val="22"/>
              </w:rPr>
            </w:pPr>
            <w:r>
              <w:rPr>
                <w:b/>
                <w:bCs/>
                <w:color w:val="000000"/>
                <w:sz w:val="22"/>
                <w:szCs w:val="22"/>
              </w:rPr>
              <w:t> </w:t>
            </w:r>
          </w:p>
        </w:tc>
      </w:tr>
      <w:tr w:rsidR="00EA7128" w14:paraId="2227EFFB" w14:textId="77777777" w:rsidTr="00EA7128">
        <w:trPr>
          <w:trHeight w:val="288"/>
        </w:trPr>
        <w:tc>
          <w:tcPr>
            <w:tcW w:w="5260" w:type="dxa"/>
            <w:tcBorders>
              <w:top w:val="nil"/>
              <w:left w:val="single" w:sz="8" w:space="0" w:color="auto"/>
              <w:bottom w:val="nil"/>
              <w:right w:val="nil"/>
            </w:tcBorders>
            <w:shd w:val="clear" w:color="auto" w:fill="auto"/>
            <w:vAlign w:val="bottom"/>
            <w:hideMark/>
          </w:tcPr>
          <w:p w14:paraId="150A8982" w14:textId="77777777" w:rsidR="00EA7128" w:rsidRDefault="00EA7128">
            <w:pPr>
              <w:rPr>
                <w:color w:val="000000"/>
                <w:sz w:val="22"/>
                <w:szCs w:val="22"/>
              </w:rPr>
            </w:pPr>
            <w:r>
              <w:rPr>
                <w:color w:val="000000"/>
                <w:sz w:val="22"/>
                <w:szCs w:val="22"/>
              </w:rPr>
              <w:t>Κύκλος εργασιών (καθαρός)</w:t>
            </w:r>
          </w:p>
        </w:tc>
        <w:tc>
          <w:tcPr>
            <w:tcW w:w="760" w:type="dxa"/>
            <w:tcBorders>
              <w:top w:val="nil"/>
              <w:left w:val="nil"/>
              <w:bottom w:val="nil"/>
              <w:right w:val="single" w:sz="8" w:space="0" w:color="auto"/>
            </w:tcBorders>
            <w:shd w:val="clear" w:color="auto" w:fill="auto"/>
            <w:noWrap/>
            <w:vAlign w:val="bottom"/>
            <w:hideMark/>
          </w:tcPr>
          <w:p w14:paraId="504A0037" w14:textId="77777777" w:rsidR="00EA7128" w:rsidRDefault="00EA7128">
            <w:pPr>
              <w:jc w:val="center"/>
              <w:rPr>
                <w:color w:val="000000"/>
                <w:sz w:val="22"/>
                <w:szCs w:val="22"/>
              </w:rPr>
            </w:pPr>
            <w:r>
              <w:rPr>
                <w:color w:val="000000"/>
                <w:sz w:val="22"/>
                <w:szCs w:val="22"/>
              </w:rPr>
              <w:t>18</w:t>
            </w:r>
          </w:p>
        </w:tc>
        <w:tc>
          <w:tcPr>
            <w:tcW w:w="2020" w:type="dxa"/>
            <w:tcBorders>
              <w:top w:val="nil"/>
              <w:left w:val="nil"/>
              <w:bottom w:val="nil"/>
              <w:right w:val="single" w:sz="8" w:space="0" w:color="auto"/>
            </w:tcBorders>
            <w:shd w:val="clear" w:color="auto" w:fill="auto"/>
            <w:noWrap/>
            <w:vAlign w:val="bottom"/>
            <w:hideMark/>
          </w:tcPr>
          <w:p w14:paraId="41F71C77" w14:textId="77777777" w:rsidR="00EA7128" w:rsidRDefault="00EA7128">
            <w:pPr>
              <w:jc w:val="right"/>
              <w:rPr>
                <w:color w:val="000000"/>
                <w:sz w:val="22"/>
                <w:szCs w:val="22"/>
              </w:rPr>
            </w:pPr>
            <w:r>
              <w:rPr>
                <w:color w:val="000000"/>
                <w:sz w:val="22"/>
                <w:szCs w:val="22"/>
              </w:rPr>
              <w:t>11.200,00</w:t>
            </w:r>
          </w:p>
        </w:tc>
        <w:tc>
          <w:tcPr>
            <w:tcW w:w="1920" w:type="dxa"/>
            <w:tcBorders>
              <w:top w:val="nil"/>
              <w:left w:val="nil"/>
              <w:bottom w:val="nil"/>
              <w:right w:val="single" w:sz="8" w:space="0" w:color="auto"/>
            </w:tcBorders>
            <w:shd w:val="clear" w:color="auto" w:fill="auto"/>
            <w:noWrap/>
            <w:vAlign w:val="bottom"/>
            <w:hideMark/>
          </w:tcPr>
          <w:p w14:paraId="400BDCF1" w14:textId="77777777" w:rsidR="00EA7128" w:rsidRDefault="00EA7128">
            <w:pPr>
              <w:jc w:val="right"/>
              <w:rPr>
                <w:color w:val="000000"/>
                <w:sz w:val="22"/>
                <w:szCs w:val="22"/>
              </w:rPr>
            </w:pPr>
            <w:r>
              <w:rPr>
                <w:color w:val="000000"/>
                <w:sz w:val="22"/>
                <w:szCs w:val="22"/>
              </w:rPr>
              <w:t>30.400,00</w:t>
            </w:r>
          </w:p>
        </w:tc>
      </w:tr>
      <w:tr w:rsidR="00EA7128" w14:paraId="2AA13AC2" w14:textId="77777777" w:rsidTr="00EA7128">
        <w:trPr>
          <w:trHeight w:val="288"/>
        </w:trPr>
        <w:tc>
          <w:tcPr>
            <w:tcW w:w="5260" w:type="dxa"/>
            <w:tcBorders>
              <w:top w:val="nil"/>
              <w:left w:val="single" w:sz="8" w:space="0" w:color="auto"/>
              <w:bottom w:val="nil"/>
              <w:right w:val="nil"/>
            </w:tcBorders>
            <w:shd w:val="clear" w:color="auto" w:fill="auto"/>
            <w:vAlign w:val="bottom"/>
            <w:hideMark/>
          </w:tcPr>
          <w:p w14:paraId="712E2F45" w14:textId="77777777" w:rsidR="00EA7128" w:rsidRDefault="00EA7128">
            <w:pPr>
              <w:rPr>
                <w:color w:val="000000"/>
                <w:sz w:val="22"/>
                <w:szCs w:val="22"/>
              </w:rPr>
            </w:pPr>
            <w:r>
              <w:rPr>
                <w:color w:val="000000"/>
                <w:sz w:val="22"/>
                <w:szCs w:val="22"/>
              </w:rPr>
              <w:t>Κόστος πωλήσεων</w:t>
            </w:r>
          </w:p>
        </w:tc>
        <w:tc>
          <w:tcPr>
            <w:tcW w:w="760" w:type="dxa"/>
            <w:tcBorders>
              <w:top w:val="nil"/>
              <w:left w:val="nil"/>
              <w:bottom w:val="nil"/>
              <w:right w:val="single" w:sz="8" w:space="0" w:color="auto"/>
            </w:tcBorders>
            <w:shd w:val="clear" w:color="auto" w:fill="auto"/>
            <w:noWrap/>
            <w:vAlign w:val="bottom"/>
            <w:hideMark/>
          </w:tcPr>
          <w:p w14:paraId="13D86806" w14:textId="77777777" w:rsidR="00EA7128" w:rsidRDefault="00EA7128">
            <w:pPr>
              <w:jc w:val="center"/>
              <w:rPr>
                <w:b/>
                <w:bCs/>
                <w:color w:val="000000"/>
                <w:sz w:val="22"/>
                <w:szCs w:val="22"/>
              </w:rPr>
            </w:pPr>
            <w:r>
              <w:rPr>
                <w:b/>
                <w:bCs/>
                <w:color w:val="000000"/>
                <w:sz w:val="22"/>
                <w:szCs w:val="22"/>
              </w:rPr>
              <w:t> </w:t>
            </w:r>
          </w:p>
        </w:tc>
        <w:tc>
          <w:tcPr>
            <w:tcW w:w="2020" w:type="dxa"/>
            <w:tcBorders>
              <w:top w:val="nil"/>
              <w:left w:val="nil"/>
              <w:bottom w:val="nil"/>
              <w:right w:val="single" w:sz="8" w:space="0" w:color="auto"/>
            </w:tcBorders>
            <w:shd w:val="clear" w:color="auto" w:fill="auto"/>
            <w:noWrap/>
            <w:vAlign w:val="bottom"/>
            <w:hideMark/>
          </w:tcPr>
          <w:p w14:paraId="701B6EB1" w14:textId="77777777" w:rsidR="00EA7128" w:rsidRDefault="00EA7128">
            <w:pPr>
              <w:jc w:val="right"/>
              <w:rPr>
                <w:color w:val="000000"/>
                <w:sz w:val="22"/>
                <w:szCs w:val="22"/>
              </w:rPr>
            </w:pPr>
            <w:r>
              <w:rPr>
                <w:color w:val="000000"/>
                <w:sz w:val="22"/>
                <w:szCs w:val="22"/>
              </w:rPr>
              <w:t>0,00</w:t>
            </w:r>
          </w:p>
        </w:tc>
        <w:tc>
          <w:tcPr>
            <w:tcW w:w="1920" w:type="dxa"/>
            <w:tcBorders>
              <w:top w:val="nil"/>
              <w:left w:val="nil"/>
              <w:bottom w:val="nil"/>
              <w:right w:val="single" w:sz="8" w:space="0" w:color="auto"/>
            </w:tcBorders>
            <w:shd w:val="clear" w:color="auto" w:fill="auto"/>
            <w:noWrap/>
            <w:vAlign w:val="bottom"/>
            <w:hideMark/>
          </w:tcPr>
          <w:p w14:paraId="67726533" w14:textId="77777777" w:rsidR="00EA7128" w:rsidRDefault="00EA7128">
            <w:pPr>
              <w:jc w:val="right"/>
              <w:rPr>
                <w:color w:val="000000"/>
                <w:sz w:val="22"/>
                <w:szCs w:val="22"/>
              </w:rPr>
            </w:pPr>
            <w:r>
              <w:rPr>
                <w:color w:val="000000"/>
                <w:sz w:val="22"/>
                <w:szCs w:val="22"/>
              </w:rPr>
              <w:t>-17.381,78</w:t>
            </w:r>
          </w:p>
        </w:tc>
      </w:tr>
      <w:tr w:rsidR="00EA7128" w14:paraId="3FF990CF" w14:textId="77777777" w:rsidTr="00EA7128">
        <w:trPr>
          <w:trHeight w:val="288"/>
        </w:trPr>
        <w:tc>
          <w:tcPr>
            <w:tcW w:w="5260" w:type="dxa"/>
            <w:tcBorders>
              <w:top w:val="nil"/>
              <w:left w:val="single" w:sz="8" w:space="0" w:color="auto"/>
              <w:bottom w:val="nil"/>
              <w:right w:val="nil"/>
            </w:tcBorders>
            <w:shd w:val="clear" w:color="auto" w:fill="auto"/>
            <w:vAlign w:val="bottom"/>
            <w:hideMark/>
          </w:tcPr>
          <w:p w14:paraId="0657E72B" w14:textId="77777777" w:rsidR="00EA7128" w:rsidRDefault="00EA7128">
            <w:pPr>
              <w:rPr>
                <w:b/>
                <w:bCs/>
                <w:color w:val="000000"/>
                <w:sz w:val="22"/>
                <w:szCs w:val="22"/>
              </w:rPr>
            </w:pPr>
            <w:r>
              <w:rPr>
                <w:b/>
                <w:bCs/>
                <w:color w:val="000000"/>
                <w:sz w:val="22"/>
                <w:szCs w:val="22"/>
              </w:rPr>
              <w:t>Μικτό Αποτέλεσμα</w:t>
            </w:r>
          </w:p>
        </w:tc>
        <w:tc>
          <w:tcPr>
            <w:tcW w:w="760" w:type="dxa"/>
            <w:tcBorders>
              <w:top w:val="nil"/>
              <w:left w:val="nil"/>
              <w:bottom w:val="nil"/>
              <w:right w:val="single" w:sz="8" w:space="0" w:color="auto"/>
            </w:tcBorders>
            <w:shd w:val="clear" w:color="auto" w:fill="auto"/>
            <w:vAlign w:val="bottom"/>
            <w:hideMark/>
          </w:tcPr>
          <w:p w14:paraId="754C030E" w14:textId="77777777" w:rsidR="00EA7128" w:rsidRDefault="00EA7128">
            <w:pPr>
              <w:jc w:val="center"/>
              <w:rPr>
                <w:b/>
                <w:bCs/>
                <w:color w:val="000000"/>
                <w:sz w:val="22"/>
                <w:szCs w:val="22"/>
              </w:rPr>
            </w:pPr>
            <w:r>
              <w:rPr>
                <w:b/>
                <w:bCs/>
                <w:color w:val="000000"/>
                <w:sz w:val="22"/>
                <w:szCs w:val="22"/>
              </w:rPr>
              <w:t> </w:t>
            </w:r>
          </w:p>
        </w:tc>
        <w:tc>
          <w:tcPr>
            <w:tcW w:w="2020" w:type="dxa"/>
            <w:tcBorders>
              <w:top w:val="single" w:sz="4" w:space="0" w:color="auto"/>
              <w:left w:val="nil"/>
              <w:bottom w:val="nil"/>
              <w:right w:val="single" w:sz="8" w:space="0" w:color="auto"/>
            </w:tcBorders>
            <w:shd w:val="clear" w:color="auto" w:fill="auto"/>
            <w:noWrap/>
            <w:vAlign w:val="bottom"/>
            <w:hideMark/>
          </w:tcPr>
          <w:p w14:paraId="001E3743" w14:textId="77777777" w:rsidR="00EA7128" w:rsidRDefault="00EA7128">
            <w:pPr>
              <w:jc w:val="right"/>
              <w:rPr>
                <w:b/>
                <w:bCs/>
                <w:color w:val="000000"/>
                <w:sz w:val="22"/>
                <w:szCs w:val="22"/>
              </w:rPr>
            </w:pPr>
            <w:r>
              <w:rPr>
                <w:b/>
                <w:bCs/>
                <w:color w:val="000000"/>
                <w:sz w:val="22"/>
                <w:szCs w:val="22"/>
              </w:rPr>
              <w:t>11.200,00</w:t>
            </w:r>
          </w:p>
        </w:tc>
        <w:tc>
          <w:tcPr>
            <w:tcW w:w="1920" w:type="dxa"/>
            <w:tcBorders>
              <w:top w:val="single" w:sz="4" w:space="0" w:color="auto"/>
              <w:left w:val="nil"/>
              <w:bottom w:val="nil"/>
              <w:right w:val="single" w:sz="8" w:space="0" w:color="auto"/>
            </w:tcBorders>
            <w:shd w:val="clear" w:color="auto" w:fill="auto"/>
            <w:noWrap/>
            <w:vAlign w:val="bottom"/>
            <w:hideMark/>
          </w:tcPr>
          <w:p w14:paraId="223AAC88" w14:textId="77777777" w:rsidR="00EA7128" w:rsidRDefault="00EA7128">
            <w:pPr>
              <w:jc w:val="right"/>
              <w:rPr>
                <w:b/>
                <w:bCs/>
                <w:color w:val="000000"/>
                <w:sz w:val="22"/>
                <w:szCs w:val="22"/>
              </w:rPr>
            </w:pPr>
            <w:r>
              <w:rPr>
                <w:b/>
                <w:bCs/>
                <w:color w:val="000000"/>
                <w:sz w:val="22"/>
                <w:szCs w:val="22"/>
              </w:rPr>
              <w:t>13.018,22</w:t>
            </w:r>
          </w:p>
        </w:tc>
      </w:tr>
      <w:tr w:rsidR="00EA7128" w14:paraId="69A4522B" w14:textId="77777777" w:rsidTr="00EA7128">
        <w:trPr>
          <w:trHeight w:val="288"/>
        </w:trPr>
        <w:tc>
          <w:tcPr>
            <w:tcW w:w="5260" w:type="dxa"/>
            <w:tcBorders>
              <w:top w:val="nil"/>
              <w:left w:val="single" w:sz="8" w:space="0" w:color="auto"/>
              <w:bottom w:val="nil"/>
              <w:right w:val="nil"/>
            </w:tcBorders>
            <w:shd w:val="clear" w:color="auto" w:fill="auto"/>
            <w:vAlign w:val="bottom"/>
            <w:hideMark/>
          </w:tcPr>
          <w:p w14:paraId="64352E49" w14:textId="77777777" w:rsidR="00EA7128" w:rsidRDefault="00EA7128">
            <w:pPr>
              <w:rPr>
                <w:color w:val="000000"/>
                <w:sz w:val="22"/>
                <w:szCs w:val="22"/>
              </w:rPr>
            </w:pPr>
            <w:r>
              <w:rPr>
                <w:color w:val="000000"/>
                <w:sz w:val="22"/>
                <w:szCs w:val="22"/>
              </w:rPr>
              <w:t>Λοιπά συνήθη έσοδα</w:t>
            </w:r>
          </w:p>
        </w:tc>
        <w:tc>
          <w:tcPr>
            <w:tcW w:w="760" w:type="dxa"/>
            <w:tcBorders>
              <w:top w:val="nil"/>
              <w:left w:val="nil"/>
              <w:bottom w:val="nil"/>
              <w:right w:val="single" w:sz="8" w:space="0" w:color="auto"/>
            </w:tcBorders>
            <w:shd w:val="clear" w:color="auto" w:fill="auto"/>
            <w:noWrap/>
            <w:vAlign w:val="bottom"/>
            <w:hideMark/>
          </w:tcPr>
          <w:p w14:paraId="673DA599" w14:textId="77777777" w:rsidR="00EA7128" w:rsidRDefault="00EA7128">
            <w:pPr>
              <w:jc w:val="center"/>
              <w:rPr>
                <w:b/>
                <w:bCs/>
                <w:color w:val="000000"/>
                <w:sz w:val="22"/>
                <w:szCs w:val="22"/>
              </w:rPr>
            </w:pPr>
            <w:r>
              <w:rPr>
                <w:b/>
                <w:bCs/>
                <w:color w:val="000000"/>
                <w:sz w:val="22"/>
                <w:szCs w:val="22"/>
              </w:rPr>
              <w:t> </w:t>
            </w:r>
          </w:p>
        </w:tc>
        <w:tc>
          <w:tcPr>
            <w:tcW w:w="2020" w:type="dxa"/>
            <w:tcBorders>
              <w:top w:val="nil"/>
              <w:left w:val="nil"/>
              <w:bottom w:val="single" w:sz="4" w:space="0" w:color="auto"/>
              <w:right w:val="single" w:sz="8" w:space="0" w:color="auto"/>
            </w:tcBorders>
            <w:shd w:val="clear" w:color="auto" w:fill="auto"/>
            <w:noWrap/>
            <w:vAlign w:val="bottom"/>
            <w:hideMark/>
          </w:tcPr>
          <w:p w14:paraId="4306BAD2" w14:textId="77777777" w:rsidR="00EA7128" w:rsidRDefault="00EA7128">
            <w:pPr>
              <w:jc w:val="right"/>
              <w:rPr>
                <w:color w:val="000000"/>
                <w:sz w:val="22"/>
                <w:szCs w:val="22"/>
              </w:rPr>
            </w:pPr>
            <w:r>
              <w:rPr>
                <w:color w:val="000000"/>
                <w:sz w:val="22"/>
                <w:szCs w:val="22"/>
              </w:rPr>
              <w:t>0,00</w:t>
            </w:r>
          </w:p>
        </w:tc>
        <w:tc>
          <w:tcPr>
            <w:tcW w:w="1920" w:type="dxa"/>
            <w:tcBorders>
              <w:top w:val="nil"/>
              <w:left w:val="nil"/>
              <w:bottom w:val="nil"/>
              <w:right w:val="single" w:sz="8" w:space="0" w:color="auto"/>
            </w:tcBorders>
            <w:shd w:val="clear" w:color="auto" w:fill="auto"/>
            <w:noWrap/>
            <w:vAlign w:val="bottom"/>
            <w:hideMark/>
          </w:tcPr>
          <w:p w14:paraId="7439D4C4" w14:textId="77777777" w:rsidR="00EA7128" w:rsidRDefault="00EA7128">
            <w:pPr>
              <w:jc w:val="right"/>
              <w:rPr>
                <w:color w:val="000000"/>
                <w:sz w:val="22"/>
                <w:szCs w:val="22"/>
              </w:rPr>
            </w:pPr>
            <w:r>
              <w:rPr>
                <w:color w:val="000000"/>
                <w:sz w:val="22"/>
                <w:szCs w:val="22"/>
              </w:rPr>
              <w:t>0,00</w:t>
            </w:r>
          </w:p>
        </w:tc>
      </w:tr>
      <w:tr w:rsidR="00EA7128" w14:paraId="56FD172C" w14:textId="77777777" w:rsidTr="00EA7128">
        <w:trPr>
          <w:trHeight w:val="288"/>
        </w:trPr>
        <w:tc>
          <w:tcPr>
            <w:tcW w:w="5260" w:type="dxa"/>
            <w:tcBorders>
              <w:top w:val="nil"/>
              <w:left w:val="single" w:sz="8" w:space="0" w:color="auto"/>
              <w:bottom w:val="nil"/>
              <w:right w:val="nil"/>
            </w:tcBorders>
            <w:shd w:val="clear" w:color="auto" w:fill="auto"/>
            <w:vAlign w:val="bottom"/>
            <w:hideMark/>
          </w:tcPr>
          <w:p w14:paraId="5FF13C45" w14:textId="77777777" w:rsidR="00EA7128" w:rsidRDefault="00EA7128">
            <w:pPr>
              <w:rPr>
                <w:color w:val="000000"/>
                <w:sz w:val="22"/>
                <w:szCs w:val="22"/>
              </w:rPr>
            </w:pPr>
            <w:r>
              <w:rPr>
                <w:color w:val="000000"/>
                <w:sz w:val="22"/>
                <w:szCs w:val="22"/>
              </w:rPr>
              <w:t> </w:t>
            </w:r>
          </w:p>
        </w:tc>
        <w:tc>
          <w:tcPr>
            <w:tcW w:w="760" w:type="dxa"/>
            <w:tcBorders>
              <w:top w:val="nil"/>
              <w:left w:val="nil"/>
              <w:bottom w:val="nil"/>
              <w:right w:val="single" w:sz="8" w:space="0" w:color="auto"/>
            </w:tcBorders>
            <w:shd w:val="clear" w:color="auto" w:fill="auto"/>
            <w:vAlign w:val="bottom"/>
            <w:hideMark/>
          </w:tcPr>
          <w:p w14:paraId="44A21E8C" w14:textId="77777777" w:rsidR="00EA7128" w:rsidRDefault="00EA7128">
            <w:pPr>
              <w:jc w:val="center"/>
              <w:rPr>
                <w:b/>
                <w:bCs/>
                <w:color w:val="000000"/>
                <w:sz w:val="22"/>
                <w:szCs w:val="22"/>
              </w:rPr>
            </w:pPr>
            <w:r>
              <w:rPr>
                <w:b/>
                <w:bCs/>
                <w:color w:val="000000"/>
                <w:sz w:val="22"/>
                <w:szCs w:val="22"/>
              </w:rPr>
              <w:t> </w:t>
            </w:r>
          </w:p>
        </w:tc>
        <w:tc>
          <w:tcPr>
            <w:tcW w:w="2020" w:type="dxa"/>
            <w:tcBorders>
              <w:top w:val="nil"/>
              <w:left w:val="nil"/>
              <w:bottom w:val="nil"/>
              <w:right w:val="single" w:sz="8" w:space="0" w:color="auto"/>
            </w:tcBorders>
            <w:shd w:val="clear" w:color="auto" w:fill="auto"/>
            <w:noWrap/>
            <w:vAlign w:val="bottom"/>
            <w:hideMark/>
          </w:tcPr>
          <w:p w14:paraId="1A7AC7E3" w14:textId="77777777" w:rsidR="00EA7128" w:rsidRDefault="00EA7128">
            <w:pPr>
              <w:jc w:val="right"/>
              <w:rPr>
                <w:b/>
                <w:bCs/>
                <w:color w:val="000000"/>
                <w:sz w:val="22"/>
                <w:szCs w:val="22"/>
              </w:rPr>
            </w:pPr>
            <w:r>
              <w:rPr>
                <w:b/>
                <w:bCs/>
                <w:color w:val="000000"/>
                <w:sz w:val="22"/>
                <w:szCs w:val="22"/>
              </w:rPr>
              <w:t>11.200,00</w:t>
            </w:r>
          </w:p>
        </w:tc>
        <w:tc>
          <w:tcPr>
            <w:tcW w:w="1920" w:type="dxa"/>
            <w:tcBorders>
              <w:top w:val="single" w:sz="4" w:space="0" w:color="auto"/>
              <w:left w:val="nil"/>
              <w:bottom w:val="nil"/>
              <w:right w:val="single" w:sz="8" w:space="0" w:color="auto"/>
            </w:tcBorders>
            <w:shd w:val="clear" w:color="auto" w:fill="auto"/>
            <w:noWrap/>
            <w:vAlign w:val="bottom"/>
            <w:hideMark/>
          </w:tcPr>
          <w:p w14:paraId="73531FEF" w14:textId="77777777" w:rsidR="00EA7128" w:rsidRDefault="00EA7128">
            <w:pPr>
              <w:jc w:val="right"/>
              <w:rPr>
                <w:b/>
                <w:bCs/>
                <w:color w:val="000000"/>
                <w:sz w:val="22"/>
                <w:szCs w:val="22"/>
              </w:rPr>
            </w:pPr>
            <w:r>
              <w:rPr>
                <w:b/>
                <w:bCs/>
                <w:color w:val="000000"/>
                <w:sz w:val="22"/>
                <w:szCs w:val="22"/>
              </w:rPr>
              <w:t>13.018,22</w:t>
            </w:r>
          </w:p>
        </w:tc>
      </w:tr>
      <w:tr w:rsidR="00EA7128" w14:paraId="0B8674EE" w14:textId="77777777" w:rsidTr="00EA7128">
        <w:trPr>
          <w:trHeight w:val="288"/>
        </w:trPr>
        <w:tc>
          <w:tcPr>
            <w:tcW w:w="5260" w:type="dxa"/>
            <w:tcBorders>
              <w:top w:val="nil"/>
              <w:left w:val="single" w:sz="8" w:space="0" w:color="auto"/>
              <w:bottom w:val="nil"/>
              <w:right w:val="nil"/>
            </w:tcBorders>
            <w:shd w:val="clear" w:color="auto" w:fill="auto"/>
            <w:vAlign w:val="bottom"/>
            <w:hideMark/>
          </w:tcPr>
          <w:p w14:paraId="466EDCDC" w14:textId="77777777" w:rsidR="00EA7128" w:rsidRDefault="00EA7128">
            <w:pPr>
              <w:rPr>
                <w:color w:val="000000"/>
                <w:sz w:val="22"/>
                <w:szCs w:val="22"/>
              </w:rPr>
            </w:pPr>
            <w:r>
              <w:rPr>
                <w:color w:val="000000"/>
                <w:sz w:val="22"/>
                <w:szCs w:val="22"/>
              </w:rPr>
              <w:t>Έξοδα διοίκησης</w:t>
            </w:r>
          </w:p>
        </w:tc>
        <w:tc>
          <w:tcPr>
            <w:tcW w:w="760" w:type="dxa"/>
            <w:tcBorders>
              <w:top w:val="nil"/>
              <w:left w:val="nil"/>
              <w:bottom w:val="nil"/>
              <w:right w:val="single" w:sz="8" w:space="0" w:color="auto"/>
            </w:tcBorders>
            <w:shd w:val="clear" w:color="auto" w:fill="auto"/>
            <w:noWrap/>
            <w:vAlign w:val="bottom"/>
            <w:hideMark/>
          </w:tcPr>
          <w:p w14:paraId="261BB0A6" w14:textId="77777777" w:rsidR="00EA7128" w:rsidRDefault="00EA7128">
            <w:pPr>
              <w:jc w:val="center"/>
              <w:rPr>
                <w:b/>
                <w:bCs/>
                <w:color w:val="000000"/>
                <w:sz w:val="22"/>
                <w:szCs w:val="22"/>
              </w:rPr>
            </w:pPr>
            <w:r>
              <w:rPr>
                <w:b/>
                <w:bCs/>
                <w:color w:val="000000"/>
                <w:sz w:val="22"/>
                <w:szCs w:val="22"/>
              </w:rPr>
              <w:t> </w:t>
            </w:r>
          </w:p>
        </w:tc>
        <w:tc>
          <w:tcPr>
            <w:tcW w:w="2020" w:type="dxa"/>
            <w:tcBorders>
              <w:top w:val="nil"/>
              <w:left w:val="nil"/>
              <w:bottom w:val="nil"/>
              <w:right w:val="single" w:sz="8" w:space="0" w:color="auto"/>
            </w:tcBorders>
            <w:shd w:val="clear" w:color="auto" w:fill="auto"/>
            <w:noWrap/>
            <w:vAlign w:val="bottom"/>
            <w:hideMark/>
          </w:tcPr>
          <w:p w14:paraId="0F54AA26" w14:textId="77777777" w:rsidR="00EA7128" w:rsidRDefault="00EA7128">
            <w:pPr>
              <w:jc w:val="right"/>
              <w:rPr>
                <w:color w:val="000000"/>
                <w:sz w:val="22"/>
                <w:szCs w:val="22"/>
              </w:rPr>
            </w:pPr>
            <w:r>
              <w:rPr>
                <w:color w:val="000000"/>
                <w:sz w:val="22"/>
                <w:szCs w:val="22"/>
              </w:rPr>
              <w:t>-11.119,74</w:t>
            </w:r>
          </w:p>
        </w:tc>
        <w:tc>
          <w:tcPr>
            <w:tcW w:w="1920" w:type="dxa"/>
            <w:tcBorders>
              <w:top w:val="nil"/>
              <w:left w:val="nil"/>
              <w:bottom w:val="nil"/>
              <w:right w:val="single" w:sz="8" w:space="0" w:color="auto"/>
            </w:tcBorders>
            <w:shd w:val="clear" w:color="auto" w:fill="auto"/>
            <w:noWrap/>
            <w:vAlign w:val="bottom"/>
            <w:hideMark/>
          </w:tcPr>
          <w:p w14:paraId="3E101F1D" w14:textId="77777777" w:rsidR="00EA7128" w:rsidRDefault="00EA7128">
            <w:pPr>
              <w:jc w:val="right"/>
              <w:rPr>
                <w:color w:val="000000"/>
                <w:sz w:val="22"/>
                <w:szCs w:val="22"/>
              </w:rPr>
            </w:pPr>
            <w:r>
              <w:rPr>
                <w:color w:val="000000"/>
                <w:sz w:val="22"/>
                <w:szCs w:val="22"/>
              </w:rPr>
              <w:t>-28.730,69</w:t>
            </w:r>
          </w:p>
        </w:tc>
      </w:tr>
      <w:tr w:rsidR="00EA7128" w14:paraId="3BE38D71" w14:textId="77777777" w:rsidTr="00EA7128">
        <w:trPr>
          <w:trHeight w:val="288"/>
        </w:trPr>
        <w:tc>
          <w:tcPr>
            <w:tcW w:w="5260" w:type="dxa"/>
            <w:tcBorders>
              <w:top w:val="nil"/>
              <w:left w:val="single" w:sz="8" w:space="0" w:color="auto"/>
              <w:bottom w:val="nil"/>
              <w:right w:val="nil"/>
            </w:tcBorders>
            <w:shd w:val="clear" w:color="auto" w:fill="auto"/>
            <w:vAlign w:val="bottom"/>
            <w:hideMark/>
          </w:tcPr>
          <w:p w14:paraId="40407653" w14:textId="77777777" w:rsidR="00EA7128" w:rsidRDefault="00EA7128">
            <w:pPr>
              <w:rPr>
                <w:color w:val="000000"/>
                <w:sz w:val="22"/>
                <w:szCs w:val="22"/>
              </w:rPr>
            </w:pPr>
            <w:r>
              <w:rPr>
                <w:color w:val="000000"/>
                <w:sz w:val="22"/>
                <w:szCs w:val="22"/>
              </w:rPr>
              <w:t>Λοιπά έξοδα και ζημιές</w:t>
            </w:r>
          </w:p>
        </w:tc>
        <w:tc>
          <w:tcPr>
            <w:tcW w:w="760" w:type="dxa"/>
            <w:tcBorders>
              <w:top w:val="nil"/>
              <w:left w:val="nil"/>
              <w:bottom w:val="nil"/>
              <w:right w:val="single" w:sz="8" w:space="0" w:color="auto"/>
            </w:tcBorders>
            <w:shd w:val="clear" w:color="auto" w:fill="auto"/>
            <w:noWrap/>
            <w:vAlign w:val="bottom"/>
            <w:hideMark/>
          </w:tcPr>
          <w:p w14:paraId="040819E9" w14:textId="77777777" w:rsidR="00EA7128" w:rsidRDefault="00EA7128">
            <w:pPr>
              <w:jc w:val="center"/>
              <w:rPr>
                <w:color w:val="000000"/>
                <w:sz w:val="22"/>
                <w:szCs w:val="22"/>
              </w:rPr>
            </w:pPr>
            <w:r>
              <w:rPr>
                <w:color w:val="000000"/>
                <w:sz w:val="22"/>
                <w:szCs w:val="22"/>
              </w:rPr>
              <w:t>11</w:t>
            </w:r>
          </w:p>
        </w:tc>
        <w:tc>
          <w:tcPr>
            <w:tcW w:w="2020" w:type="dxa"/>
            <w:tcBorders>
              <w:top w:val="nil"/>
              <w:left w:val="nil"/>
              <w:bottom w:val="nil"/>
              <w:right w:val="single" w:sz="8" w:space="0" w:color="auto"/>
            </w:tcBorders>
            <w:shd w:val="clear" w:color="auto" w:fill="auto"/>
            <w:noWrap/>
            <w:vAlign w:val="bottom"/>
            <w:hideMark/>
          </w:tcPr>
          <w:p w14:paraId="45D6A542" w14:textId="77777777" w:rsidR="00EA7128" w:rsidRDefault="00EA7128">
            <w:pPr>
              <w:jc w:val="right"/>
              <w:rPr>
                <w:color w:val="000000"/>
                <w:sz w:val="22"/>
                <w:szCs w:val="22"/>
              </w:rPr>
            </w:pPr>
            <w:r>
              <w:rPr>
                <w:color w:val="000000"/>
                <w:sz w:val="22"/>
                <w:szCs w:val="22"/>
              </w:rPr>
              <w:t>-607,56</w:t>
            </w:r>
          </w:p>
        </w:tc>
        <w:tc>
          <w:tcPr>
            <w:tcW w:w="1920" w:type="dxa"/>
            <w:tcBorders>
              <w:top w:val="nil"/>
              <w:left w:val="nil"/>
              <w:bottom w:val="nil"/>
              <w:right w:val="single" w:sz="8" w:space="0" w:color="auto"/>
            </w:tcBorders>
            <w:shd w:val="clear" w:color="auto" w:fill="auto"/>
            <w:noWrap/>
            <w:vAlign w:val="bottom"/>
            <w:hideMark/>
          </w:tcPr>
          <w:p w14:paraId="568EB5DC" w14:textId="77777777" w:rsidR="00EA7128" w:rsidRDefault="00EA7128">
            <w:pPr>
              <w:jc w:val="right"/>
              <w:rPr>
                <w:color w:val="000000"/>
                <w:sz w:val="22"/>
                <w:szCs w:val="22"/>
              </w:rPr>
            </w:pPr>
            <w:r>
              <w:rPr>
                <w:color w:val="000000"/>
                <w:sz w:val="22"/>
                <w:szCs w:val="22"/>
              </w:rPr>
              <w:t>-157,33</w:t>
            </w:r>
          </w:p>
        </w:tc>
      </w:tr>
      <w:tr w:rsidR="00EA7128" w14:paraId="1DFF792D" w14:textId="77777777" w:rsidTr="00EA7128">
        <w:trPr>
          <w:trHeight w:val="288"/>
        </w:trPr>
        <w:tc>
          <w:tcPr>
            <w:tcW w:w="5260" w:type="dxa"/>
            <w:tcBorders>
              <w:top w:val="nil"/>
              <w:left w:val="single" w:sz="8" w:space="0" w:color="auto"/>
              <w:bottom w:val="nil"/>
              <w:right w:val="nil"/>
            </w:tcBorders>
            <w:shd w:val="clear" w:color="auto" w:fill="auto"/>
            <w:vAlign w:val="bottom"/>
            <w:hideMark/>
          </w:tcPr>
          <w:p w14:paraId="23B5FDB2" w14:textId="77777777" w:rsidR="00EA7128" w:rsidRDefault="00EA7128">
            <w:pPr>
              <w:rPr>
                <w:color w:val="000000"/>
                <w:sz w:val="22"/>
                <w:szCs w:val="22"/>
              </w:rPr>
            </w:pPr>
            <w:r>
              <w:rPr>
                <w:color w:val="000000"/>
                <w:sz w:val="22"/>
                <w:szCs w:val="22"/>
              </w:rPr>
              <w:t>Λοιπά έσοδα και κέρδη</w:t>
            </w:r>
          </w:p>
        </w:tc>
        <w:tc>
          <w:tcPr>
            <w:tcW w:w="760" w:type="dxa"/>
            <w:tcBorders>
              <w:top w:val="nil"/>
              <w:left w:val="nil"/>
              <w:bottom w:val="nil"/>
              <w:right w:val="single" w:sz="8" w:space="0" w:color="auto"/>
            </w:tcBorders>
            <w:shd w:val="clear" w:color="auto" w:fill="auto"/>
            <w:noWrap/>
            <w:vAlign w:val="bottom"/>
            <w:hideMark/>
          </w:tcPr>
          <w:p w14:paraId="17D260BF" w14:textId="77777777" w:rsidR="00EA7128" w:rsidRDefault="00EA7128">
            <w:pPr>
              <w:jc w:val="center"/>
              <w:rPr>
                <w:color w:val="000000"/>
                <w:sz w:val="22"/>
                <w:szCs w:val="22"/>
              </w:rPr>
            </w:pPr>
            <w:r>
              <w:rPr>
                <w:color w:val="000000"/>
                <w:sz w:val="22"/>
                <w:szCs w:val="22"/>
              </w:rPr>
              <w:t>11</w:t>
            </w:r>
          </w:p>
        </w:tc>
        <w:tc>
          <w:tcPr>
            <w:tcW w:w="2020" w:type="dxa"/>
            <w:tcBorders>
              <w:top w:val="nil"/>
              <w:left w:val="nil"/>
              <w:bottom w:val="nil"/>
              <w:right w:val="single" w:sz="8" w:space="0" w:color="auto"/>
            </w:tcBorders>
            <w:shd w:val="clear" w:color="auto" w:fill="auto"/>
            <w:noWrap/>
            <w:vAlign w:val="bottom"/>
            <w:hideMark/>
          </w:tcPr>
          <w:p w14:paraId="7CD63302" w14:textId="77777777" w:rsidR="00EA7128" w:rsidRDefault="00EA7128">
            <w:pPr>
              <w:jc w:val="right"/>
              <w:rPr>
                <w:sz w:val="22"/>
                <w:szCs w:val="22"/>
              </w:rPr>
            </w:pPr>
            <w:r>
              <w:rPr>
                <w:sz w:val="22"/>
                <w:szCs w:val="22"/>
              </w:rPr>
              <w:t>0,00</w:t>
            </w:r>
          </w:p>
        </w:tc>
        <w:tc>
          <w:tcPr>
            <w:tcW w:w="1920" w:type="dxa"/>
            <w:tcBorders>
              <w:top w:val="nil"/>
              <w:left w:val="nil"/>
              <w:bottom w:val="nil"/>
              <w:right w:val="single" w:sz="8" w:space="0" w:color="auto"/>
            </w:tcBorders>
            <w:shd w:val="clear" w:color="auto" w:fill="auto"/>
            <w:noWrap/>
            <w:vAlign w:val="bottom"/>
            <w:hideMark/>
          </w:tcPr>
          <w:p w14:paraId="406FD9B3" w14:textId="77777777" w:rsidR="00EA7128" w:rsidRDefault="00EA7128">
            <w:pPr>
              <w:jc w:val="right"/>
              <w:rPr>
                <w:color w:val="000000"/>
                <w:sz w:val="22"/>
                <w:szCs w:val="22"/>
              </w:rPr>
            </w:pPr>
            <w:r>
              <w:rPr>
                <w:color w:val="000000"/>
                <w:sz w:val="22"/>
                <w:szCs w:val="22"/>
              </w:rPr>
              <w:t>0,48</w:t>
            </w:r>
          </w:p>
        </w:tc>
      </w:tr>
      <w:tr w:rsidR="00EA7128" w14:paraId="091A5046" w14:textId="77777777" w:rsidTr="00EA7128">
        <w:trPr>
          <w:trHeight w:val="288"/>
        </w:trPr>
        <w:tc>
          <w:tcPr>
            <w:tcW w:w="5260" w:type="dxa"/>
            <w:tcBorders>
              <w:top w:val="nil"/>
              <w:left w:val="single" w:sz="8" w:space="0" w:color="auto"/>
              <w:bottom w:val="nil"/>
              <w:right w:val="nil"/>
            </w:tcBorders>
            <w:shd w:val="clear" w:color="auto" w:fill="auto"/>
            <w:vAlign w:val="bottom"/>
            <w:hideMark/>
          </w:tcPr>
          <w:p w14:paraId="6CD88252" w14:textId="77777777" w:rsidR="00EA7128" w:rsidRDefault="00EA7128">
            <w:pPr>
              <w:rPr>
                <w:b/>
                <w:bCs/>
                <w:color w:val="000000"/>
                <w:sz w:val="22"/>
                <w:szCs w:val="22"/>
              </w:rPr>
            </w:pPr>
            <w:r>
              <w:rPr>
                <w:b/>
                <w:bCs/>
                <w:color w:val="000000"/>
                <w:sz w:val="22"/>
                <w:szCs w:val="22"/>
              </w:rPr>
              <w:t>Αποτέλεσμα προ τόκων και φόρων</w:t>
            </w:r>
          </w:p>
        </w:tc>
        <w:tc>
          <w:tcPr>
            <w:tcW w:w="760" w:type="dxa"/>
            <w:tcBorders>
              <w:top w:val="nil"/>
              <w:left w:val="nil"/>
              <w:bottom w:val="nil"/>
              <w:right w:val="single" w:sz="8" w:space="0" w:color="auto"/>
            </w:tcBorders>
            <w:shd w:val="clear" w:color="auto" w:fill="auto"/>
            <w:vAlign w:val="bottom"/>
            <w:hideMark/>
          </w:tcPr>
          <w:p w14:paraId="490C6EDD" w14:textId="77777777" w:rsidR="00EA7128" w:rsidRDefault="00EA7128">
            <w:pPr>
              <w:jc w:val="center"/>
              <w:rPr>
                <w:b/>
                <w:bCs/>
                <w:color w:val="000000"/>
                <w:sz w:val="22"/>
                <w:szCs w:val="22"/>
              </w:rPr>
            </w:pPr>
            <w:r>
              <w:rPr>
                <w:b/>
                <w:bCs/>
                <w:color w:val="000000"/>
                <w:sz w:val="22"/>
                <w:szCs w:val="22"/>
              </w:rPr>
              <w:t> </w:t>
            </w:r>
          </w:p>
        </w:tc>
        <w:tc>
          <w:tcPr>
            <w:tcW w:w="2020" w:type="dxa"/>
            <w:tcBorders>
              <w:top w:val="single" w:sz="4" w:space="0" w:color="auto"/>
              <w:left w:val="nil"/>
              <w:bottom w:val="nil"/>
              <w:right w:val="single" w:sz="8" w:space="0" w:color="auto"/>
            </w:tcBorders>
            <w:shd w:val="clear" w:color="auto" w:fill="auto"/>
            <w:noWrap/>
            <w:vAlign w:val="bottom"/>
            <w:hideMark/>
          </w:tcPr>
          <w:p w14:paraId="7D05DD7D" w14:textId="77777777" w:rsidR="00EA7128" w:rsidRDefault="00EA7128">
            <w:pPr>
              <w:jc w:val="right"/>
              <w:rPr>
                <w:b/>
                <w:bCs/>
                <w:color w:val="000000"/>
                <w:sz w:val="22"/>
                <w:szCs w:val="22"/>
              </w:rPr>
            </w:pPr>
            <w:r>
              <w:rPr>
                <w:b/>
                <w:bCs/>
                <w:color w:val="000000"/>
                <w:sz w:val="22"/>
                <w:szCs w:val="22"/>
              </w:rPr>
              <w:t>-527,30</w:t>
            </w:r>
          </w:p>
        </w:tc>
        <w:tc>
          <w:tcPr>
            <w:tcW w:w="1920" w:type="dxa"/>
            <w:tcBorders>
              <w:top w:val="single" w:sz="4" w:space="0" w:color="auto"/>
              <w:left w:val="nil"/>
              <w:bottom w:val="nil"/>
              <w:right w:val="single" w:sz="8" w:space="0" w:color="auto"/>
            </w:tcBorders>
            <w:shd w:val="clear" w:color="auto" w:fill="auto"/>
            <w:noWrap/>
            <w:vAlign w:val="bottom"/>
            <w:hideMark/>
          </w:tcPr>
          <w:p w14:paraId="650EF001" w14:textId="77777777" w:rsidR="00EA7128" w:rsidRDefault="00EA7128">
            <w:pPr>
              <w:jc w:val="right"/>
              <w:rPr>
                <w:b/>
                <w:bCs/>
                <w:color w:val="000000"/>
                <w:sz w:val="22"/>
                <w:szCs w:val="22"/>
              </w:rPr>
            </w:pPr>
            <w:r>
              <w:rPr>
                <w:b/>
                <w:bCs/>
                <w:color w:val="000000"/>
                <w:sz w:val="22"/>
                <w:szCs w:val="22"/>
              </w:rPr>
              <w:t>-15.869,32</w:t>
            </w:r>
          </w:p>
        </w:tc>
      </w:tr>
      <w:tr w:rsidR="00EA7128" w14:paraId="0850A11B" w14:textId="77777777" w:rsidTr="00EA7128">
        <w:trPr>
          <w:trHeight w:val="288"/>
        </w:trPr>
        <w:tc>
          <w:tcPr>
            <w:tcW w:w="5260" w:type="dxa"/>
            <w:tcBorders>
              <w:top w:val="nil"/>
              <w:left w:val="single" w:sz="8" w:space="0" w:color="auto"/>
              <w:bottom w:val="nil"/>
              <w:right w:val="nil"/>
            </w:tcBorders>
            <w:shd w:val="clear" w:color="auto" w:fill="auto"/>
            <w:vAlign w:val="bottom"/>
            <w:hideMark/>
          </w:tcPr>
          <w:p w14:paraId="51865536" w14:textId="77777777" w:rsidR="00EA7128" w:rsidRDefault="00EA7128">
            <w:pPr>
              <w:rPr>
                <w:color w:val="000000"/>
                <w:sz w:val="22"/>
                <w:szCs w:val="22"/>
              </w:rPr>
            </w:pPr>
            <w:r>
              <w:rPr>
                <w:color w:val="000000"/>
                <w:sz w:val="22"/>
                <w:szCs w:val="22"/>
              </w:rPr>
              <w:t>Πιστωτικοί τόκοι και συναφή έσοδα</w:t>
            </w:r>
          </w:p>
        </w:tc>
        <w:tc>
          <w:tcPr>
            <w:tcW w:w="760" w:type="dxa"/>
            <w:tcBorders>
              <w:top w:val="nil"/>
              <w:left w:val="nil"/>
              <w:bottom w:val="nil"/>
              <w:right w:val="single" w:sz="8" w:space="0" w:color="auto"/>
            </w:tcBorders>
            <w:shd w:val="clear" w:color="auto" w:fill="auto"/>
            <w:noWrap/>
            <w:vAlign w:val="bottom"/>
            <w:hideMark/>
          </w:tcPr>
          <w:p w14:paraId="297FD2E8" w14:textId="77777777" w:rsidR="00EA7128" w:rsidRDefault="00EA7128">
            <w:pPr>
              <w:jc w:val="center"/>
              <w:rPr>
                <w:b/>
                <w:bCs/>
                <w:color w:val="000000"/>
                <w:sz w:val="22"/>
                <w:szCs w:val="22"/>
              </w:rPr>
            </w:pPr>
            <w:r>
              <w:rPr>
                <w:b/>
                <w:bCs/>
                <w:color w:val="000000"/>
                <w:sz w:val="22"/>
                <w:szCs w:val="22"/>
              </w:rPr>
              <w:t> </w:t>
            </w:r>
          </w:p>
        </w:tc>
        <w:tc>
          <w:tcPr>
            <w:tcW w:w="2020" w:type="dxa"/>
            <w:tcBorders>
              <w:top w:val="nil"/>
              <w:left w:val="nil"/>
              <w:bottom w:val="nil"/>
              <w:right w:val="single" w:sz="8" w:space="0" w:color="auto"/>
            </w:tcBorders>
            <w:shd w:val="clear" w:color="auto" w:fill="auto"/>
            <w:noWrap/>
            <w:vAlign w:val="bottom"/>
            <w:hideMark/>
          </w:tcPr>
          <w:p w14:paraId="27CAE367" w14:textId="77777777" w:rsidR="00EA7128" w:rsidRDefault="00EA7128">
            <w:pPr>
              <w:jc w:val="right"/>
              <w:rPr>
                <w:color w:val="000000"/>
                <w:sz w:val="22"/>
                <w:szCs w:val="22"/>
              </w:rPr>
            </w:pPr>
            <w:r>
              <w:rPr>
                <w:color w:val="000000"/>
                <w:sz w:val="22"/>
                <w:szCs w:val="22"/>
              </w:rPr>
              <w:t>0,39</w:t>
            </w:r>
          </w:p>
        </w:tc>
        <w:tc>
          <w:tcPr>
            <w:tcW w:w="1920" w:type="dxa"/>
            <w:tcBorders>
              <w:top w:val="nil"/>
              <w:left w:val="nil"/>
              <w:bottom w:val="nil"/>
              <w:right w:val="single" w:sz="8" w:space="0" w:color="auto"/>
            </w:tcBorders>
            <w:shd w:val="clear" w:color="auto" w:fill="auto"/>
            <w:noWrap/>
            <w:vAlign w:val="bottom"/>
            <w:hideMark/>
          </w:tcPr>
          <w:p w14:paraId="2D82A715" w14:textId="77777777" w:rsidR="00EA7128" w:rsidRDefault="00EA7128">
            <w:pPr>
              <w:jc w:val="right"/>
              <w:rPr>
                <w:color w:val="000000"/>
                <w:sz w:val="22"/>
                <w:szCs w:val="22"/>
              </w:rPr>
            </w:pPr>
            <w:r>
              <w:rPr>
                <w:color w:val="000000"/>
                <w:sz w:val="22"/>
                <w:szCs w:val="22"/>
              </w:rPr>
              <w:t>0,79</w:t>
            </w:r>
          </w:p>
        </w:tc>
      </w:tr>
      <w:tr w:rsidR="00EA7128" w14:paraId="48DB3ACB" w14:textId="77777777" w:rsidTr="00EA7128">
        <w:trPr>
          <w:trHeight w:val="288"/>
        </w:trPr>
        <w:tc>
          <w:tcPr>
            <w:tcW w:w="5260" w:type="dxa"/>
            <w:tcBorders>
              <w:top w:val="nil"/>
              <w:left w:val="single" w:sz="8" w:space="0" w:color="auto"/>
              <w:bottom w:val="nil"/>
              <w:right w:val="nil"/>
            </w:tcBorders>
            <w:shd w:val="clear" w:color="auto" w:fill="auto"/>
            <w:vAlign w:val="bottom"/>
            <w:hideMark/>
          </w:tcPr>
          <w:p w14:paraId="18413F6F" w14:textId="77777777" w:rsidR="00EA7128" w:rsidRDefault="00EA7128">
            <w:pPr>
              <w:rPr>
                <w:color w:val="000000"/>
                <w:sz w:val="22"/>
                <w:szCs w:val="22"/>
              </w:rPr>
            </w:pPr>
            <w:r>
              <w:rPr>
                <w:color w:val="000000"/>
                <w:sz w:val="22"/>
                <w:szCs w:val="22"/>
              </w:rPr>
              <w:t>Χρεωστικοί τόκοι και συναφή έξοδα</w:t>
            </w:r>
          </w:p>
        </w:tc>
        <w:tc>
          <w:tcPr>
            <w:tcW w:w="760" w:type="dxa"/>
            <w:tcBorders>
              <w:top w:val="nil"/>
              <w:left w:val="nil"/>
              <w:bottom w:val="nil"/>
              <w:right w:val="single" w:sz="8" w:space="0" w:color="auto"/>
            </w:tcBorders>
            <w:shd w:val="clear" w:color="auto" w:fill="auto"/>
            <w:noWrap/>
            <w:vAlign w:val="bottom"/>
            <w:hideMark/>
          </w:tcPr>
          <w:p w14:paraId="1A2B48C3" w14:textId="77777777" w:rsidR="00EA7128" w:rsidRDefault="00EA7128">
            <w:pPr>
              <w:jc w:val="center"/>
              <w:rPr>
                <w:b/>
                <w:bCs/>
                <w:color w:val="000000"/>
                <w:sz w:val="22"/>
                <w:szCs w:val="22"/>
              </w:rPr>
            </w:pPr>
            <w:r>
              <w:rPr>
                <w:b/>
                <w:bCs/>
                <w:color w:val="000000"/>
                <w:sz w:val="22"/>
                <w:szCs w:val="22"/>
              </w:rPr>
              <w:t> </w:t>
            </w:r>
          </w:p>
        </w:tc>
        <w:tc>
          <w:tcPr>
            <w:tcW w:w="2020" w:type="dxa"/>
            <w:tcBorders>
              <w:top w:val="nil"/>
              <w:left w:val="nil"/>
              <w:bottom w:val="nil"/>
              <w:right w:val="single" w:sz="8" w:space="0" w:color="auto"/>
            </w:tcBorders>
            <w:shd w:val="clear" w:color="auto" w:fill="auto"/>
            <w:noWrap/>
            <w:vAlign w:val="bottom"/>
            <w:hideMark/>
          </w:tcPr>
          <w:p w14:paraId="0993269A" w14:textId="77777777" w:rsidR="00EA7128" w:rsidRDefault="00EA7128">
            <w:pPr>
              <w:jc w:val="right"/>
              <w:rPr>
                <w:color w:val="000000"/>
                <w:sz w:val="22"/>
                <w:szCs w:val="22"/>
              </w:rPr>
            </w:pPr>
            <w:r>
              <w:rPr>
                <w:color w:val="000000"/>
                <w:sz w:val="22"/>
                <w:szCs w:val="22"/>
              </w:rPr>
              <w:t>-63,00</w:t>
            </w:r>
          </w:p>
        </w:tc>
        <w:tc>
          <w:tcPr>
            <w:tcW w:w="1920" w:type="dxa"/>
            <w:tcBorders>
              <w:top w:val="nil"/>
              <w:left w:val="nil"/>
              <w:bottom w:val="nil"/>
              <w:right w:val="single" w:sz="8" w:space="0" w:color="auto"/>
            </w:tcBorders>
            <w:shd w:val="clear" w:color="auto" w:fill="auto"/>
            <w:noWrap/>
            <w:vAlign w:val="bottom"/>
            <w:hideMark/>
          </w:tcPr>
          <w:p w14:paraId="6D3C998A" w14:textId="77777777" w:rsidR="00EA7128" w:rsidRDefault="00EA7128">
            <w:pPr>
              <w:jc w:val="right"/>
              <w:rPr>
                <w:color w:val="000000"/>
                <w:sz w:val="22"/>
                <w:szCs w:val="22"/>
              </w:rPr>
            </w:pPr>
            <w:r>
              <w:rPr>
                <w:color w:val="000000"/>
                <w:sz w:val="22"/>
                <w:szCs w:val="22"/>
              </w:rPr>
              <w:t>-167,70</w:t>
            </w:r>
          </w:p>
        </w:tc>
      </w:tr>
      <w:tr w:rsidR="00EA7128" w14:paraId="39577FA8" w14:textId="77777777" w:rsidTr="00EA7128">
        <w:trPr>
          <w:trHeight w:val="288"/>
        </w:trPr>
        <w:tc>
          <w:tcPr>
            <w:tcW w:w="5260" w:type="dxa"/>
            <w:tcBorders>
              <w:top w:val="nil"/>
              <w:left w:val="single" w:sz="8" w:space="0" w:color="auto"/>
              <w:bottom w:val="nil"/>
              <w:right w:val="nil"/>
            </w:tcBorders>
            <w:shd w:val="clear" w:color="auto" w:fill="auto"/>
            <w:vAlign w:val="bottom"/>
            <w:hideMark/>
          </w:tcPr>
          <w:p w14:paraId="1D6B5ABC" w14:textId="77777777" w:rsidR="00EA7128" w:rsidRDefault="00EA7128">
            <w:pPr>
              <w:rPr>
                <w:b/>
                <w:bCs/>
                <w:color w:val="000000"/>
                <w:sz w:val="22"/>
                <w:szCs w:val="22"/>
              </w:rPr>
            </w:pPr>
            <w:r>
              <w:rPr>
                <w:b/>
                <w:bCs/>
                <w:color w:val="000000"/>
                <w:sz w:val="22"/>
                <w:szCs w:val="22"/>
              </w:rPr>
              <w:t>Αποτέλεσμα προ φόρων</w:t>
            </w:r>
          </w:p>
        </w:tc>
        <w:tc>
          <w:tcPr>
            <w:tcW w:w="760" w:type="dxa"/>
            <w:tcBorders>
              <w:top w:val="nil"/>
              <w:left w:val="nil"/>
              <w:bottom w:val="nil"/>
              <w:right w:val="single" w:sz="8" w:space="0" w:color="auto"/>
            </w:tcBorders>
            <w:shd w:val="clear" w:color="auto" w:fill="auto"/>
            <w:vAlign w:val="bottom"/>
            <w:hideMark/>
          </w:tcPr>
          <w:p w14:paraId="3A84A1BC" w14:textId="77777777" w:rsidR="00EA7128" w:rsidRDefault="00EA7128">
            <w:pPr>
              <w:jc w:val="center"/>
              <w:rPr>
                <w:b/>
                <w:bCs/>
                <w:color w:val="000000"/>
                <w:sz w:val="22"/>
                <w:szCs w:val="22"/>
              </w:rPr>
            </w:pPr>
            <w:r>
              <w:rPr>
                <w:b/>
                <w:bCs/>
                <w:color w:val="000000"/>
                <w:sz w:val="22"/>
                <w:szCs w:val="22"/>
              </w:rPr>
              <w:t> </w:t>
            </w:r>
          </w:p>
        </w:tc>
        <w:tc>
          <w:tcPr>
            <w:tcW w:w="2020" w:type="dxa"/>
            <w:tcBorders>
              <w:top w:val="single" w:sz="4" w:space="0" w:color="auto"/>
              <w:left w:val="nil"/>
              <w:bottom w:val="nil"/>
              <w:right w:val="single" w:sz="8" w:space="0" w:color="auto"/>
            </w:tcBorders>
            <w:shd w:val="clear" w:color="auto" w:fill="auto"/>
            <w:noWrap/>
            <w:vAlign w:val="bottom"/>
            <w:hideMark/>
          </w:tcPr>
          <w:p w14:paraId="0D3D6F0F" w14:textId="77777777" w:rsidR="00EA7128" w:rsidRDefault="00EA7128">
            <w:pPr>
              <w:jc w:val="right"/>
              <w:rPr>
                <w:b/>
                <w:bCs/>
                <w:color w:val="000000"/>
                <w:sz w:val="22"/>
                <w:szCs w:val="22"/>
              </w:rPr>
            </w:pPr>
            <w:r>
              <w:rPr>
                <w:b/>
                <w:bCs/>
                <w:color w:val="000000"/>
                <w:sz w:val="22"/>
                <w:szCs w:val="22"/>
              </w:rPr>
              <w:t>-589,91</w:t>
            </w:r>
          </w:p>
        </w:tc>
        <w:tc>
          <w:tcPr>
            <w:tcW w:w="1920" w:type="dxa"/>
            <w:tcBorders>
              <w:top w:val="single" w:sz="4" w:space="0" w:color="auto"/>
              <w:left w:val="nil"/>
              <w:bottom w:val="nil"/>
              <w:right w:val="single" w:sz="8" w:space="0" w:color="auto"/>
            </w:tcBorders>
            <w:shd w:val="clear" w:color="auto" w:fill="auto"/>
            <w:noWrap/>
            <w:vAlign w:val="bottom"/>
            <w:hideMark/>
          </w:tcPr>
          <w:p w14:paraId="08DA4A0D" w14:textId="77777777" w:rsidR="00EA7128" w:rsidRDefault="00EA7128">
            <w:pPr>
              <w:jc w:val="right"/>
              <w:rPr>
                <w:b/>
                <w:bCs/>
                <w:color w:val="000000"/>
                <w:sz w:val="22"/>
                <w:szCs w:val="22"/>
              </w:rPr>
            </w:pPr>
            <w:r>
              <w:rPr>
                <w:b/>
                <w:bCs/>
                <w:color w:val="000000"/>
                <w:sz w:val="22"/>
                <w:szCs w:val="22"/>
              </w:rPr>
              <w:t>-16.036,23</w:t>
            </w:r>
          </w:p>
        </w:tc>
      </w:tr>
      <w:tr w:rsidR="00EA7128" w14:paraId="71D3FEA5" w14:textId="77777777" w:rsidTr="00EA7128">
        <w:trPr>
          <w:trHeight w:val="300"/>
        </w:trPr>
        <w:tc>
          <w:tcPr>
            <w:tcW w:w="5260" w:type="dxa"/>
            <w:tcBorders>
              <w:top w:val="nil"/>
              <w:left w:val="single" w:sz="8" w:space="0" w:color="auto"/>
              <w:bottom w:val="nil"/>
              <w:right w:val="nil"/>
            </w:tcBorders>
            <w:shd w:val="clear" w:color="auto" w:fill="auto"/>
            <w:vAlign w:val="bottom"/>
            <w:hideMark/>
          </w:tcPr>
          <w:p w14:paraId="6CC92CF1" w14:textId="77777777" w:rsidR="00EA7128" w:rsidRDefault="00EA7128">
            <w:pPr>
              <w:rPr>
                <w:color w:val="000000"/>
                <w:sz w:val="22"/>
                <w:szCs w:val="22"/>
              </w:rPr>
            </w:pPr>
            <w:r>
              <w:rPr>
                <w:color w:val="000000"/>
                <w:sz w:val="22"/>
                <w:szCs w:val="22"/>
              </w:rPr>
              <w:t>Φόροι εισοδήματος</w:t>
            </w:r>
          </w:p>
        </w:tc>
        <w:tc>
          <w:tcPr>
            <w:tcW w:w="760" w:type="dxa"/>
            <w:tcBorders>
              <w:top w:val="nil"/>
              <w:left w:val="nil"/>
              <w:bottom w:val="nil"/>
              <w:right w:val="single" w:sz="8" w:space="0" w:color="auto"/>
            </w:tcBorders>
            <w:shd w:val="clear" w:color="auto" w:fill="auto"/>
            <w:noWrap/>
            <w:vAlign w:val="bottom"/>
            <w:hideMark/>
          </w:tcPr>
          <w:p w14:paraId="7CCDFC61" w14:textId="77777777" w:rsidR="00EA7128" w:rsidRDefault="00EA7128">
            <w:pPr>
              <w:jc w:val="center"/>
              <w:rPr>
                <w:b/>
                <w:bCs/>
                <w:color w:val="000000"/>
                <w:sz w:val="22"/>
                <w:szCs w:val="22"/>
              </w:rPr>
            </w:pPr>
            <w:r>
              <w:rPr>
                <w:b/>
                <w:bCs/>
                <w:color w:val="000000"/>
                <w:sz w:val="22"/>
                <w:szCs w:val="22"/>
              </w:rPr>
              <w:t> </w:t>
            </w:r>
          </w:p>
        </w:tc>
        <w:tc>
          <w:tcPr>
            <w:tcW w:w="2020" w:type="dxa"/>
            <w:tcBorders>
              <w:top w:val="nil"/>
              <w:left w:val="nil"/>
              <w:bottom w:val="double" w:sz="6" w:space="0" w:color="auto"/>
              <w:right w:val="single" w:sz="8" w:space="0" w:color="auto"/>
            </w:tcBorders>
            <w:shd w:val="clear" w:color="auto" w:fill="auto"/>
            <w:noWrap/>
            <w:vAlign w:val="bottom"/>
            <w:hideMark/>
          </w:tcPr>
          <w:p w14:paraId="0558058F" w14:textId="77777777" w:rsidR="00EA7128" w:rsidRDefault="00EA7128">
            <w:pPr>
              <w:jc w:val="right"/>
              <w:rPr>
                <w:color w:val="000000"/>
                <w:sz w:val="22"/>
                <w:szCs w:val="22"/>
              </w:rPr>
            </w:pPr>
            <w:r>
              <w:rPr>
                <w:color w:val="000000"/>
                <w:sz w:val="22"/>
                <w:szCs w:val="22"/>
              </w:rPr>
              <w:t>0,00</w:t>
            </w:r>
          </w:p>
        </w:tc>
        <w:tc>
          <w:tcPr>
            <w:tcW w:w="1920" w:type="dxa"/>
            <w:tcBorders>
              <w:top w:val="nil"/>
              <w:left w:val="nil"/>
              <w:bottom w:val="double" w:sz="6" w:space="0" w:color="auto"/>
              <w:right w:val="single" w:sz="8" w:space="0" w:color="auto"/>
            </w:tcBorders>
            <w:shd w:val="clear" w:color="auto" w:fill="auto"/>
            <w:noWrap/>
            <w:vAlign w:val="bottom"/>
            <w:hideMark/>
          </w:tcPr>
          <w:p w14:paraId="1CD9FD38" w14:textId="77777777" w:rsidR="00EA7128" w:rsidRDefault="00EA7128">
            <w:pPr>
              <w:jc w:val="right"/>
              <w:rPr>
                <w:color w:val="000000"/>
                <w:sz w:val="22"/>
                <w:szCs w:val="22"/>
              </w:rPr>
            </w:pPr>
            <w:r>
              <w:rPr>
                <w:color w:val="000000"/>
                <w:sz w:val="22"/>
                <w:szCs w:val="22"/>
              </w:rPr>
              <w:t>0,00</w:t>
            </w:r>
          </w:p>
        </w:tc>
      </w:tr>
      <w:tr w:rsidR="00EA7128" w14:paraId="0DF6F519" w14:textId="77777777" w:rsidTr="00EA7128">
        <w:trPr>
          <w:trHeight w:val="312"/>
        </w:trPr>
        <w:tc>
          <w:tcPr>
            <w:tcW w:w="5260" w:type="dxa"/>
            <w:tcBorders>
              <w:top w:val="nil"/>
              <w:left w:val="single" w:sz="8" w:space="0" w:color="auto"/>
              <w:bottom w:val="single" w:sz="8" w:space="0" w:color="auto"/>
              <w:right w:val="nil"/>
            </w:tcBorders>
            <w:shd w:val="clear" w:color="auto" w:fill="auto"/>
            <w:vAlign w:val="bottom"/>
            <w:hideMark/>
          </w:tcPr>
          <w:p w14:paraId="6CDCEDB5" w14:textId="77777777" w:rsidR="00EA7128" w:rsidRDefault="00EA7128">
            <w:pPr>
              <w:rPr>
                <w:b/>
                <w:bCs/>
                <w:color w:val="000000"/>
                <w:sz w:val="22"/>
                <w:szCs w:val="22"/>
              </w:rPr>
            </w:pPr>
            <w:r>
              <w:rPr>
                <w:b/>
                <w:bCs/>
                <w:color w:val="000000"/>
                <w:sz w:val="22"/>
                <w:szCs w:val="22"/>
              </w:rPr>
              <w:t>Αποτέλεσμα περιόδου μετά από φόρους</w:t>
            </w:r>
          </w:p>
        </w:tc>
        <w:tc>
          <w:tcPr>
            <w:tcW w:w="760" w:type="dxa"/>
            <w:tcBorders>
              <w:top w:val="nil"/>
              <w:left w:val="nil"/>
              <w:bottom w:val="single" w:sz="8" w:space="0" w:color="auto"/>
              <w:right w:val="single" w:sz="8" w:space="0" w:color="auto"/>
            </w:tcBorders>
            <w:shd w:val="clear" w:color="auto" w:fill="auto"/>
            <w:vAlign w:val="bottom"/>
            <w:hideMark/>
          </w:tcPr>
          <w:p w14:paraId="72983D00" w14:textId="77777777" w:rsidR="00EA7128" w:rsidRDefault="00EA7128">
            <w:pPr>
              <w:jc w:val="center"/>
              <w:rPr>
                <w:b/>
                <w:bCs/>
                <w:color w:val="000000"/>
                <w:sz w:val="22"/>
                <w:szCs w:val="22"/>
              </w:rPr>
            </w:pPr>
            <w:r>
              <w:rPr>
                <w:b/>
                <w:bCs/>
                <w:color w:val="000000"/>
                <w:sz w:val="22"/>
                <w:szCs w:val="22"/>
              </w:rPr>
              <w:t> </w:t>
            </w:r>
          </w:p>
        </w:tc>
        <w:tc>
          <w:tcPr>
            <w:tcW w:w="2020" w:type="dxa"/>
            <w:tcBorders>
              <w:top w:val="single" w:sz="4" w:space="0" w:color="auto"/>
              <w:left w:val="nil"/>
              <w:bottom w:val="double" w:sz="6" w:space="0" w:color="auto"/>
              <w:right w:val="single" w:sz="8" w:space="0" w:color="auto"/>
            </w:tcBorders>
            <w:shd w:val="clear" w:color="auto" w:fill="auto"/>
            <w:noWrap/>
            <w:vAlign w:val="bottom"/>
            <w:hideMark/>
          </w:tcPr>
          <w:p w14:paraId="556919C4" w14:textId="77777777" w:rsidR="00EA7128" w:rsidRDefault="00EA7128">
            <w:pPr>
              <w:jc w:val="right"/>
              <w:rPr>
                <w:b/>
                <w:bCs/>
                <w:color w:val="000000"/>
                <w:sz w:val="22"/>
                <w:szCs w:val="22"/>
              </w:rPr>
            </w:pPr>
            <w:r>
              <w:rPr>
                <w:b/>
                <w:bCs/>
                <w:color w:val="000000"/>
                <w:sz w:val="22"/>
                <w:szCs w:val="22"/>
              </w:rPr>
              <w:t>-589,91</w:t>
            </w:r>
          </w:p>
        </w:tc>
        <w:tc>
          <w:tcPr>
            <w:tcW w:w="1920" w:type="dxa"/>
            <w:tcBorders>
              <w:top w:val="single" w:sz="4" w:space="0" w:color="auto"/>
              <w:left w:val="nil"/>
              <w:bottom w:val="double" w:sz="6" w:space="0" w:color="auto"/>
              <w:right w:val="single" w:sz="8" w:space="0" w:color="auto"/>
            </w:tcBorders>
            <w:shd w:val="clear" w:color="auto" w:fill="auto"/>
            <w:noWrap/>
            <w:vAlign w:val="bottom"/>
            <w:hideMark/>
          </w:tcPr>
          <w:p w14:paraId="3C0E5C47" w14:textId="77777777" w:rsidR="00EA7128" w:rsidRDefault="00EA7128">
            <w:pPr>
              <w:jc w:val="right"/>
              <w:rPr>
                <w:b/>
                <w:bCs/>
                <w:color w:val="000000"/>
                <w:sz w:val="22"/>
                <w:szCs w:val="22"/>
              </w:rPr>
            </w:pPr>
            <w:r>
              <w:rPr>
                <w:b/>
                <w:bCs/>
                <w:color w:val="000000"/>
                <w:sz w:val="22"/>
                <w:szCs w:val="22"/>
              </w:rPr>
              <w:t>-16.036,23</w:t>
            </w:r>
          </w:p>
        </w:tc>
      </w:tr>
    </w:tbl>
    <w:p w14:paraId="562589BC" w14:textId="77777777" w:rsidR="00370435" w:rsidRPr="00A131AE" w:rsidRDefault="00370435" w:rsidP="00442E06">
      <w:pPr>
        <w:shd w:val="clear" w:color="auto" w:fill="FFFFFF"/>
        <w:spacing w:after="200" w:line="276" w:lineRule="auto"/>
        <w:ind w:left="5" w:right="14" w:hanging="5"/>
        <w:rPr>
          <w:b/>
          <w:sz w:val="22"/>
          <w:szCs w:val="22"/>
          <w:highlight w:val="yellow"/>
        </w:rPr>
      </w:pPr>
    </w:p>
    <w:p w14:paraId="7921E056" w14:textId="77777777" w:rsidR="00F77FA8" w:rsidRPr="00A131AE" w:rsidRDefault="00F77FA8" w:rsidP="00B82D0D">
      <w:pPr>
        <w:shd w:val="clear" w:color="auto" w:fill="FFFFFF"/>
        <w:spacing w:after="200" w:line="276" w:lineRule="auto"/>
        <w:ind w:left="5" w:right="14" w:hanging="5"/>
        <w:jc w:val="center"/>
        <w:rPr>
          <w:b/>
          <w:sz w:val="22"/>
          <w:szCs w:val="22"/>
          <w:highlight w:val="yellow"/>
        </w:rPr>
      </w:pPr>
    </w:p>
    <w:p w14:paraId="23A84ACA" w14:textId="77777777" w:rsidR="00F77FA8" w:rsidRPr="00A131AE" w:rsidRDefault="00F77FA8" w:rsidP="00B82D0D">
      <w:pPr>
        <w:shd w:val="clear" w:color="auto" w:fill="FFFFFF"/>
        <w:spacing w:after="200" w:line="276" w:lineRule="auto"/>
        <w:ind w:left="5" w:right="14" w:hanging="5"/>
        <w:jc w:val="center"/>
        <w:rPr>
          <w:b/>
          <w:sz w:val="22"/>
          <w:szCs w:val="22"/>
          <w:highlight w:val="yellow"/>
        </w:rPr>
      </w:pPr>
    </w:p>
    <w:p w14:paraId="0A49F17E" w14:textId="77777777" w:rsidR="00F77FA8" w:rsidRPr="00A131AE" w:rsidRDefault="00F77FA8" w:rsidP="00FF3764">
      <w:pPr>
        <w:shd w:val="clear" w:color="auto" w:fill="FFFFFF"/>
        <w:spacing w:after="200" w:line="276" w:lineRule="auto"/>
        <w:ind w:right="14"/>
        <w:rPr>
          <w:b/>
          <w:sz w:val="22"/>
          <w:szCs w:val="22"/>
          <w:highlight w:val="yellow"/>
          <w:lang w:val="en-US"/>
        </w:rPr>
      </w:pPr>
    </w:p>
    <w:p w14:paraId="51C21489" w14:textId="77777777" w:rsidR="00F77FA8" w:rsidRPr="00A131AE" w:rsidRDefault="00F77FA8" w:rsidP="00FF3764">
      <w:pPr>
        <w:shd w:val="clear" w:color="auto" w:fill="FFFFFF"/>
        <w:spacing w:after="200" w:line="276" w:lineRule="auto"/>
        <w:ind w:right="14"/>
        <w:rPr>
          <w:b/>
          <w:sz w:val="22"/>
          <w:szCs w:val="22"/>
          <w:highlight w:val="yellow"/>
          <w:lang w:val="en-US"/>
        </w:rPr>
      </w:pPr>
    </w:p>
    <w:p w14:paraId="1D9ABA97" w14:textId="77777777" w:rsidR="00F77FA8" w:rsidRPr="00A131AE" w:rsidRDefault="00F77FA8" w:rsidP="00B82D0D">
      <w:pPr>
        <w:shd w:val="clear" w:color="auto" w:fill="FFFFFF"/>
        <w:spacing w:after="200" w:line="276" w:lineRule="auto"/>
        <w:ind w:left="5" w:right="14" w:hanging="5"/>
        <w:jc w:val="center"/>
        <w:rPr>
          <w:b/>
          <w:sz w:val="22"/>
          <w:szCs w:val="22"/>
          <w:highlight w:val="yellow"/>
        </w:rPr>
        <w:sectPr w:rsidR="00F77FA8" w:rsidRPr="00A131AE" w:rsidSect="008737B6">
          <w:headerReference w:type="default" r:id="rId15"/>
          <w:footerReference w:type="default" r:id="rId16"/>
          <w:headerReference w:type="first" r:id="rId17"/>
          <w:footerReference w:type="first" r:id="rId18"/>
          <w:pgSz w:w="11906" w:h="16838" w:code="9"/>
          <w:pgMar w:top="1418" w:right="1418" w:bottom="1418" w:left="1134" w:header="709" w:footer="567" w:gutter="0"/>
          <w:cols w:space="708"/>
          <w:titlePg/>
          <w:docGrid w:linePitch="360"/>
        </w:sectPr>
      </w:pPr>
    </w:p>
    <w:p w14:paraId="53F4FF22" w14:textId="77777777" w:rsidR="00F77FA8" w:rsidRPr="00253B1B" w:rsidRDefault="00614F01" w:rsidP="004A2266">
      <w:pPr>
        <w:pStyle w:val="1"/>
        <w:jc w:val="left"/>
      </w:pPr>
      <w:bookmarkStart w:id="9" w:name="_Toc446004043"/>
      <w:bookmarkStart w:id="10" w:name="_Toc488058530"/>
      <w:bookmarkStart w:id="11" w:name="_Toc15545991"/>
      <w:r w:rsidRPr="00253B1B">
        <w:lastRenderedPageBreak/>
        <w:t>ΚΑΤΑΣΤΑΣΗ ΜΕΤΑΒΟΛΩΝ ΚΑΘΑΡΗΣ ΘΕΣ</w:t>
      </w:r>
      <w:r w:rsidR="00605AEE" w:rsidRPr="00253B1B">
        <w:t>ΕΩ</w:t>
      </w:r>
      <w:r w:rsidRPr="00253B1B">
        <w:t>Σ</w:t>
      </w:r>
      <w:r w:rsidR="00F77FA8" w:rsidRPr="00253B1B">
        <w:rPr>
          <w:color w:val="FFFFFF"/>
        </w:rPr>
        <w:t xml:space="preserve"> ς</w:t>
      </w:r>
      <w:bookmarkEnd w:id="9"/>
      <w:bookmarkEnd w:id="10"/>
      <w:bookmarkEnd w:id="11"/>
    </w:p>
    <w:p w14:paraId="78EC91BE" w14:textId="77777777" w:rsidR="00F77FA8" w:rsidRPr="00A131AE" w:rsidRDefault="00F77FA8" w:rsidP="00442E06">
      <w:pPr>
        <w:shd w:val="clear" w:color="auto" w:fill="FFFFFF"/>
        <w:spacing w:after="200" w:line="276" w:lineRule="auto"/>
        <w:ind w:left="5" w:right="14" w:hanging="5"/>
        <w:rPr>
          <w:b/>
          <w:sz w:val="22"/>
          <w:szCs w:val="22"/>
          <w:highlight w:val="yellow"/>
        </w:rPr>
      </w:pPr>
    </w:p>
    <w:p w14:paraId="26A0106C" w14:textId="77777777" w:rsidR="00442E06" w:rsidRPr="00A131AE" w:rsidRDefault="00442E06" w:rsidP="00442E06">
      <w:pPr>
        <w:shd w:val="clear" w:color="auto" w:fill="FFFFFF"/>
        <w:spacing w:after="200" w:line="276" w:lineRule="auto"/>
        <w:ind w:right="14"/>
        <w:rPr>
          <w:b/>
          <w:sz w:val="22"/>
          <w:szCs w:val="22"/>
          <w:highlight w:val="yellow"/>
        </w:rPr>
      </w:pPr>
    </w:p>
    <w:tbl>
      <w:tblPr>
        <w:tblW w:w="5000" w:type="pct"/>
        <w:tblLook w:val="04A0" w:firstRow="1" w:lastRow="0" w:firstColumn="1" w:lastColumn="0" w:noHBand="0" w:noVBand="1"/>
      </w:tblPr>
      <w:tblGrid>
        <w:gridCol w:w="5799"/>
        <w:gridCol w:w="755"/>
        <w:gridCol w:w="1745"/>
        <w:gridCol w:w="1653"/>
        <w:gridCol w:w="2176"/>
        <w:gridCol w:w="1854"/>
      </w:tblGrid>
      <w:tr w:rsidR="00D71343" w14:paraId="050DA58B" w14:textId="77777777" w:rsidTr="00D71343">
        <w:trPr>
          <w:trHeight w:val="852"/>
        </w:trPr>
        <w:tc>
          <w:tcPr>
            <w:tcW w:w="2074" w:type="pct"/>
            <w:tcBorders>
              <w:top w:val="single" w:sz="8" w:space="0" w:color="auto"/>
              <w:left w:val="single" w:sz="8" w:space="0" w:color="auto"/>
              <w:bottom w:val="single" w:sz="8" w:space="0" w:color="auto"/>
              <w:right w:val="nil"/>
            </w:tcBorders>
            <w:shd w:val="clear" w:color="auto" w:fill="auto"/>
            <w:noWrap/>
            <w:vAlign w:val="bottom"/>
            <w:hideMark/>
          </w:tcPr>
          <w:p w14:paraId="65A2D660" w14:textId="77777777" w:rsidR="00044A8E" w:rsidRDefault="00044A8E">
            <w:pPr>
              <w:rPr>
                <w:b/>
                <w:bCs/>
                <w:i/>
                <w:iCs/>
                <w:color w:val="000000"/>
                <w:sz w:val="22"/>
                <w:szCs w:val="22"/>
                <w:u w:val="single"/>
              </w:rPr>
            </w:pPr>
          </w:p>
        </w:tc>
        <w:tc>
          <w:tcPr>
            <w:tcW w:w="270" w:type="pct"/>
            <w:tcBorders>
              <w:top w:val="single" w:sz="8" w:space="0" w:color="auto"/>
              <w:left w:val="nil"/>
              <w:bottom w:val="single" w:sz="8" w:space="0" w:color="auto"/>
              <w:right w:val="single" w:sz="8" w:space="0" w:color="auto"/>
            </w:tcBorders>
            <w:shd w:val="clear" w:color="auto" w:fill="auto"/>
            <w:noWrap/>
            <w:vAlign w:val="bottom"/>
            <w:hideMark/>
          </w:tcPr>
          <w:p w14:paraId="3307043B" w14:textId="77777777" w:rsidR="00044A8E" w:rsidRDefault="00044A8E">
            <w:pPr>
              <w:jc w:val="center"/>
              <w:rPr>
                <w:b/>
                <w:bCs/>
                <w:color w:val="000000"/>
                <w:sz w:val="22"/>
                <w:szCs w:val="22"/>
              </w:rPr>
            </w:pPr>
            <w:r>
              <w:rPr>
                <w:b/>
                <w:bCs/>
                <w:color w:val="000000"/>
                <w:sz w:val="22"/>
                <w:szCs w:val="22"/>
              </w:rPr>
              <w:t>Σημ.</w:t>
            </w:r>
          </w:p>
        </w:tc>
        <w:tc>
          <w:tcPr>
            <w:tcW w:w="624" w:type="pct"/>
            <w:tcBorders>
              <w:top w:val="single" w:sz="8" w:space="0" w:color="auto"/>
              <w:left w:val="nil"/>
              <w:bottom w:val="single" w:sz="8" w:space="0" w:color="auto"/>
              <w:right w:val="single" w:sz="8" w:space="0" w:color="auto"/>
            </w:tcBorders>
            <w:shd w:val="clear" w:color="auto" w:fill="auto"/>
            <w:vAlign w:val="bottom"/>
            <w:hideMark/>
          </w:tcPr>
          <w:p w14:paraId="2F3A1FBB" w14:textId="77777777" w:rsidR="00044A8E" w:rsidRDefault="00044A8E">
            <w:pPr>
              <w:jc w:val="center"/>
              <w:rPr>
                <w:b/>
                <w:bCs/>
                <w:color w:val="000000"/>
                <w:sz w:val="22"/>
                <w:szCs w:val="22"/>
              </w:rPr>
            </w:pPr>
            <w:r>
              <w:rPr>
                <w:b/>
                <w:bCs/>
                <w:color w:val="000000"/>
                <w:sz w:val="22"/>
                <w:szCs w:val="22"/>
              </w:rPr>
              <w:t>Κεφάλαιο</w:t>
            </w:r>
          </w:p>
        </w:tc>
        <w:tc>
          <w:tcPr>
            <w:tcW w:w="591" w:type="pct"/>
            <w:tcBorders>
              <w:top w:val="single" w:sz="8" w:space="0" w:color="auto"/>
              <w:left w:val="nil"/>
              <w:bottom w:val="single" w:sz="8" w:space="0" w:color="auto"/>
              <w:right w:val="single" w:sz="8" w:space="0" w:color="auto"/>
            </w:tcBorders>
            <w:shd w:val="clear" w:color="auto" w:fill="auto"/>
            <w:vAlign w:val="bottom"/>
            <w:hideMark/>
          </w:tcPr>
          <w:p w14:paraId="63E009AB" w14:textId="77777777" w:rsidR="00044A8E" w:rsidRDefault="00044A8E">
            <w:pPr>
              <w:jc w:val="center"/>
              <w:rPr>
                <w:b/>
                <w:bCs/>
                <w:color w:val="000000"/>
                <w:sz w:val="22"/>
                <w:szCs w:val="22"/>
              </w:rPr>
            </w:pPr>
            <w:r>
              <w:rPr>
                <w:b/>
                <w:bCs/>
                <w:color w:val="000000"/>
                <w:sz w:val="22"/>
                <w:szCs w:val="22"/>
              </w:rPr>
              <w:t>Υπέρ το 'Αρτιο</w:t>
            </w:r>
          </w:p>
        </w:tc>
        <w:tc>
          <w:tcPr>
            <w:tcW w:w="778" w:type="pct"/>
            <w:tcBorders>
              <w:top w:val="single" w:sz="8" w:space="0" w:color="auto"/>
              <w:left w:val="nil"/>
              <w:bottom w:val="single" w:sz="8" w:space="0" w:color="auto"/>
              <w:right w:val="single" w:sz="8" w:space="0" w:color="auto"/>
            </w:tcBorders>
            <w:shd w:val="clear" w:color="auto" w:fill="auto"/>
            <w:vAlign w:val="bottom"/>
            <w:hideMark/>
          </w:tcPr>
          <w:p w14:paraId="24DFE2ED" w14:textId="77777777" w:rsidR="00044A8E" w:rsidRDefault="00044A8E">
            <w:pPr>
              <w:jc w:val="center"/>
              <w:rPr>
                <w:b/>
                <w:bCs/>
                <w:color w:val="000000"/>
                <w:sz w:val="22"/>
                <w:szCs w:val="22"/>
              </w:rPr>
            </w:pPr>
            <w:r>
              <w:rPr>
                <w:b/>
                <w:bCs/>
                <w:color w:val="000000"/>
                <w:sz w:val="22"/>
                <w:szCs w:val="22"/>
              </w:rPr>
              <w:t>Υπόλοιπο Αποτελεσμάτων Εις Νέο</w:t>
            </w:r>
          </w:p>
        </w:tc>
        <w:tc>
          <w:tcPr>
            <w:tcW w:w="663" w:type="pct"/>
            <w:tcBorders>
              <w:top w:val="single" w:sz="8" w:space="0" w:color="auto"/>
              <w:left w:val="nil"/>
              <w:bottom w:val="single" w:sz="8" w:space="0" w:color="auto"/>
              <w:right w:val="single" w:sz="8" w:space="0" w:color="auto"/>
            </w:tcBorders>
            <w:shd w:val="clear" w:color="auto" w:fill="auto"/>
            <w:vAlign w:val="bottom"/>
            <w:hideMark/>
          </w:tcPr>
          <w:p w14:paraId="3C1176F7" w14:textId="77777777" w:rsidR="00044A8E" w:rsidRDefault="00044A8E">
            <w:pPr>
              <w:jc w:val="center"/>
              <w:rPr>
                <w:b/>
                <w:bCs/>
                <w:color w:val="000000"/>
                <w:sz w:val="22"/>
                <w:szCs w:val="22"/>
              </w:rPr>
            </w:pPr>
            <w:r>
              <w:rPr>
                <w:b/>
                <w:bCs/>
                <w:color w:val="000000"/>
                <w:sz w:val="22"/>
                <w:szCs w:val="22"/>
              </w:rPr>
              <w:t>Συνολικά ίδια κεφάλαια</w:t>
            </w:r>
          </w:p>
        </w:tc>
      </w:tr>
      <w:tr w:rsidR="00D71343" w14:paraId="7E92DE5B" w14:textId="77777777" w:rsidTr="00D71343">
        <w:trPr>
          <w:trHeight w:val="288"/>
        </w:trPr>
        <w:tc>
          <w:tcPr>
            <w:tcW w:w="2074" w:type="pct"/>
            <w:tcBorders>
              <w:top w:val="nil"/>
              <w:left w:val="single" w:sz="8" w:space="0" w:color="auto"/>
              <w:bottom w:val="nil"/>
              <w:right w:val="nil"/>
            </w:tcBorders>
            <w:shd w:val="clear" w:color="auto" w:fill="auto"/>
            <w:vAlign w:val="bottom"/>
            <w:hideMark/>
          </w:tcPr>
          <w:p w14:paraId="779487BB" w14:textId="77777777" w:rsidR="00044A8E" w:rsidRDefault="00044A8E">
            <w:pPr>
              <w:rPr>
                <w:b/>
                <w:bCs/>
                <w:color w:val="000000"/>
                <w:sz w:val="22"/>
                <w:szCs w:val="22"/>
              </w:rPr>
            </w:pPr>
            <w:r>
              <w:rPr>
                <w:b/>
                <w:bCs/>
                <w:color w:val="000000"/>
                <w:sz w:val="22"/>
                <w:szCs w:val="22"/>
              </w:rPr>
              <w:t>Υπόλοιπο Ιδίων Κεφαλαίων 1/1/2019</w:t>
            </w:r>
          </w:p>
        </w:tc>
        <w:tc>
          <w:tcPr>
            <w:tcW w:w="270" w:type="pct"/>
            <w:tcBorders>
              <w:top w:val="nil"/>
              <w:left w:val="nil"/>
              <w:bottom w:val="nil"/>
              <w:right w:val="single" w:sz="8" w:space="0" w:color="auto"/>
            </w:tcBorders>
            <w:shd w:val="clear" w:color="auto" w:fill="auto"/>
            <w:vAlign w:val="bottom"/>
            <w:hideMark/>
          </w:tcPr>
          <w:p w14:paraId="182800A8" w14:textId="77777777" w:rsidR="00044A8E" w:rsidRDefault="00044A8E">
            <w:pPr>
              <w:rPr>
                <w:b/>
                <w:bCs/>
                <w:color w:val="000000"/>
                <w:sz w:val="22"/>
                <w:szCs w:val="22"/>
              </w:rPr>
            </w:pPr>
            <w:r>
              <w:rPr>
                <w:b/>
                <w:bCs/>
                <w:color w:val="000000"/>
                <w:sz w:val="22"/>
                <w:szCs w:val="22"/>
              </w:rPr>
              <w:t> </w:t>
            </w:r>
          </w:p>
        </w:tc>
        <w:tc>
          <w:tcPr>
            <w:tcW w:w="624" w:type="pct"/>
            <w:tcBorders>
              <w:top w:val="nil"/>
              <w:left w:val="nil"/>
              <w:bottom w:val="double" w:sz="6" w:space="0" w:color="auto"/>
              <w:right w:val="single" w:sz="8" w:space="0" w:color="auto"/>
            </w:tcBorders>
            <w:shd w:val="clear" w:color="auto" w:fill="auto"/>
            <w:vAlign w:val="bottom"/>
            <w:hideMark/>
          </w:tcPr>
          <w:p w14:paraId="51ADD9EA" w14:textId="77777777" w:rsidR="00044A8E" w:rsidRDefault="00044A8E">
            <w:pPr>
              <w:jc w:val="right"/>
              <w:rPr>
                <w:b/>
                <w:bCs/>
                <w:color w:val="000000"/>
                <w:sz w:val="22"/>
                <w:szCs w:val="22"/>
              </w:rPr>
            </w:pPr>
            <w:r>
              <w:rPr>
                <w:b/>
                <w:bCs/>
                <w:color w:val="000000"/>
                <w:sz w:val="22"/>
                <w:szCs w:val="22"/>
              </w:rPr>
              <w:t>1.005.500,00</w:t>
            </w:r>
          </w:p>
        </w:tc>
        <w:tc>
          <w:tcPr>
            <w:tcW w:w="591" w:type="pct"/>
            <w:tcBorders>
              <w:top w:val="nil"/>
              <w:left w:val="nil"/>
              <w:bottom w:val="double" w:sz="6" w:space="0" w:color="auto"/>
              <w:right w:val="single" w:sz="8" w:space="0" w:color="auto"/>
            </w:tcBorders>
            <w:shd w:val="clear" w:color="auto" w:fill="auto"/>
            <w:vAlign w:val="bottom"/>
            <w:hideMark/>
          </w:tcPr>
          <w:p w14:paraId="158DB848" w14:textId="77777777" w:rsidR="00044A8E" w:rsidRDefault="00044A8E">
            <w:pPr>
              <w:jc w:val="right"/>
              <w:rPr>
                <w:b/>
                <w:bCs/>
                <w:color w:val="000000"/>
                <w:sz w:val="22"/>
                <w:szCs w:val="22"/>
              </w:rPr>
            </w:pPr>
            <w:r>
              <w:rPr>
                <w:b/>
                <w:bCs/>
                <w:color w:val="000000"/>
                <w:sz w:val="22"/>
                <w:szCs w:val="22"/>
              </w:rPr>
              <w:t>1.336.500,00</w:t>
            </w:r>
          </w:p>
        </w:tc>
        <w:tc>
          <w:tcPr>
            <w:tcW w:w="778" w:type="pct"/>
            <w:tcBorders>
              <w:top w:val="nil"/>
              <w:left w:val="nil"/>
              <w:bottom w:val="double" w:sz="6" w:space="0" w:color="auto"/>
              <w:right w:val="single" w:sz="8" w:space="0" w:color="auto"/>
            </w:tcBorders>
            <w:shd w:val="clear" w:color="auto" w:fill="auto"/>
            <w:vAlign w:val="bottom"/>
            <w:hideMark/>
          </w:tcPr>
          <w:p w14:paraId="78E36690" w14:textId="77777777" w:rsidR="00044A8E" w:rsidRDefault="00044A8E">
            <w:pPr>
              <w:jc w:val="right"/>
              <w:rPr>
                <w:b/>
                <w:bCs/>
                <w:color w:val="000000"/>
                <w:sz w:val="22"/>
                <w:szCs w:val="22"/>
              </w:rPr>
            </w:pPr>
            <w:r>
              <w:rPr>
                <w:b/>
                <w:bCs/>
                <w:color w:val="000000"/>
                <w:sz w:val="22"/>
                <w:szCs w:val="22"/>
              </w:rPr>
              <w:t>-2.814.344,12</w:t>
            </w:r>
          </w:p>
        </w:tc>
        <w:tc>
          <w:tcPr>
            <w:tcW w:w="663" w:type="pct"/>
            <w:tcBorders>
              <w:top w:val="nil"/>
              <w:left w:val="nil"/>
              <w:bottom w:val="double" w:sz="6" w:space="0" w:color="auto"/>
              <w:right w:val="single" w:sz="8" w:space="0" w:color="auto"/>
            </w:tcBorders>
            <w:shd w:val="clear" w:color="auto" w:fill="auto"/>
            <w:vAlign w:val="bottom"/>
            <w:hideMark/>
          </w:tcPr>
          <w:p w14:paraId="46E29C4C" w14:textId="77777777" w:rsidR="00044A8E" w:rsidRDefault="00044A8E">
            <w:pPr>
              <w:jc w:val="right"/>
              <w:rPr>
                <w:b/>
                <w:bCs/>
                <w:color w:val="000000"/>
                <w:sz w:val="22"/>
                <w:szCs w:val="22"/>
              </w:rPr>
            </w:pPr>
            <w:r>
              <w:rPr>
                <w:b/>
                <w:bCs/>
                <w:color w:val="000000"/>
                <w:sz w:val="22"/>
                <w:szCs w:val="22"/>
              </w:rPr>
              <w:t>-472.344,12</w:t>
            </w:r>
          </w:p>
        </w:tc>
      </w:tr>
      <w:tr w:rsidR="00D71343" w14:paraId="508AC7EC" w14:textId="77777777" w:rsidTr="00D71343">
        <w:trPr>
          <w:trHeight w:val="288"/>
        </w:trPr>
        <w:tc>
          <w:tcPr>
            <w:tcW w:w="2074" w:type="pct"/>
            <w:tcBorders>
              <w:top w:val="nil"/>
              <w:left w:val="single" w:sz="8" w:space="0" w:color="auto"/>
              <w:bottom w:val="nil"/>
              <w:right w:val="nil"/>
            </w:tcBorders>
            <w:shd w:val="clear" w:color="auto" w:fill="auto"/>
            <w:vAlign w:val="bottom"/>
            <w:hideMark/>
          </w:tcPr>
          <w:p w14:paraId="63694596" w14:textId="77777777" w:rsidR="00044A8E" w:rsidRDefault="00044A8E">
            <w:pPr>
              <w:rPr>
                <w:color w:val="000000"/>
                <w:sz w:val="22"/>
                <w:szCs w:val="22"/>
              </w:rPr>
            </w:pPr>
            <w:r>
              <w:rPr>
                <w:color w:val="000000"/>
                <w:sz w:val="22"/>
                <w:szCs w:val="22"/>
              </w:rPr>
              <w:t>Αποτελέσματα περιόδου</w:t>
            </w:r>
          </w:p>
        </w:tc>
        <w:tc>
          <w:tcPr>
            <w:tcW w:w="270" w:type="pct"/>
            <w:tcBorders>
              <w:top w:val="nil"/>
              <w:left w:val="nil"/>
              <w:bottom w:val="nil"/>
              <w:right w:val="single" w:sz="8" w:space="0" w:color="auto"/>
            </w:tcBorders>
            <w:shd w:val="clear" w:color="auto" w:fill="auto"/>
            <w:noWrap/>
            <w:vAlign w:val="bottom"/>
            <w:hideMark/>
          </w:tcPr>
          <w:p w14:paraId="589F877F" w14:textId="77777777" w:rsidR="00044A8E" w:rsidRDefault="00044A8E">
            <w:pPr>
              <w:jc w:val="center"/>
              <w:rPr>
                <w:color w:val="000000"/>
                <w:sz w:val="22"/>
                <w:szCs w:val="22"/>
              </w:rPr>
            </w:pPr>
            <w:r>
              <w:rPr>
                <w:color w:val="000000"/>
                <w:sz w:val="22"/>
                <w:szCs w:val="22"/>
              </w:rPr>
              <w:t> </w:t>
            </w:r>
          </w:p>
        </w:tc>
        <w:tc>
          <w:tcPr>
            <w:tcW w:w="624" w:type="pct"/>
            <w:tcBorders>
              <w:top w:val="nil"/>
              <w:left w:val="nil"/>
              <w:bottom w:val="nil"/>
              <w:right w:val="single" w:sz="8" w:space="0" w:color="auto"/>
            </w:tcBorders>
            <w:shd w:val="clear" w:color="auto" w:fill="auto"/>
            <w:vAlign w:val="bottom"/>
            <w:hideMark/>
          </w:tcPr>
          <w:p w14:paraId="7B1E0493" w14:textId="77777777" w:rsidR="00044A8E" w:rsidRDefault="00044A8E">
            <w:pPr>
              <w:jc w:val="right"/>
              <w:rPr>
                <w:color w:val="000000"/>
                <w:sz w:val="22"/>
                <w:szCs w:val="22"/>
              </w:rPr>
            </w:pPr>
            <w:r>
              <w:rPr>
                <w:color w:val="000000"/>
                <w:sz w:val="22"/>
                <w:szCs w:val="22"/>
              </w:rPr>
              <w:t> </w:t>
            </w:r>
          </w:p>
        </w:tc>
        <w:tc>
          <w:tcPr>
            <w:tcW w:w="591" w:type="pct"/>
            <w:tcBorders>
              <w:top w:val="nil"/>
              <w:left w:val="nil"/>
              <w:bottom w:val="nil"/>
              <w:right w:val="single" w:sz="8" w:space="0" w:color="auto"/>
            </w:tcBorders>
            <w:shd w:val="clear" w:color="auto" w:fill="auto"/>
            <w:vAlign w:val="bottom"/>
            <w:hideMark/>
          </w:tcPr>
          <w:p w14:paraId="49A27BC1" w14:textId="77777777" w:rsidR="00044A8E" w:rsidRDefault="00044A8E">
            <w:pPr>
              <w:jc w:val="right"/>
              <w:rPr>
                <w:color w:val="000000"/>
                <w:sz w:val="22"/>
                <w:szCs w:val="22"/>
              </w:rPr>
            </w:pPr>
            <w:r>
              <w:rPr>
                <w:color w:val="000000"/>
                <w:sz w:val="22"/>
                <w:szCs w:val="22"/>
              </w:rPr>
              <w:t> </w:t>
            </w:r>
          </w:p>
        </w:tc>
        <w:tc>
          <w:tcPr>
            <w:tcW w:w="778" w:type="pct"/>
            <w:tcBorders>
              <w:top w:val="nil"/>
              <w:left w:val="nil"/>
              <w:bottom w:val="nil"/>
              <w:right w:val="single" w:sz="8" w:space="0" w:color="auto"/>
            </w:tcBorders>
            <w:shd w:val="clear" w:color="auto" w:fill="auto"/>
            <w:vAlign w:val="bottom"/>
            <w:hideMark/>
          </w:tcPr>
          <w:p w14:paraId="79727ACB" w14:textId="77777777" w:rsidR="00044A8E" w:rsidRDefault="00044A8E">
            <w:pPr>
              <w:jc w:val="right"/>
              <w:rPr>
                <w:color w:val="000000"/>
                <w:sz w:val="22"/>
                <w:szCs w:val="22"/>
              </w:rPr>
            </w:pPr>
            <w:r>
              <w:rPr>
                <w:color w:val="000000"/>
                <w:sz w:val="22"/>
                <w:szCs w:val="22"/>
              </w:rPr>
              <w:t>-16.036,23</w:t>
            </w:r>
          </w:p>
        </w:tc>
        <w:tc>
          <w:tcPr>
            <w:tcW w:w="663" w:type="pct"/>
            <w:tcBorders>
              <w:top w:val="nil"/>
              <w:left w:val="nil"/>
              <w:bottom w:val="nil"/>
              <w:right w:val="single" w:sz="8" w:space="0" w:color="auto"/>
            </w:tcBorders>
            <w:shd w:val="clear" w:color="auto" w:fill="auto"/>
            <w:vAlign w:val="bottom"/>
            <w:hideMark/>
          </w:tcPr>
          <w:p w14:paraId="37DDBC3A" w14:textId="77777777" w:rsidR="00044A8E" w:rsidRDefault="00044A8E">
            <w:pPr>
              <w:jc w:val="right"/>
              <w:rPr>
                <w:b/>
                <w:bCs/>
                <w:color w:val="000000"/>
                <w:sz w:val="22"/>
                <w:szCs w:val="22"/>
              </w:rPr>
            </w:pPr>
            <w:r>
              <w:rPr>
                <w:b/>
                <w:bCs/>
                <w:color w:val="000000"/>
                <w:sz w:val="22"/>
                <w:szCs w:val="22"/>
              </w:rPr>
              <w:t>-16.036,23</w:t>
            </w:r>
          </w:p>
        </w:tc>
      </w:tr>
      <w:tr w:rsidR="00044A8E" w14:paraId="7587746A" w14:textId="77777777" w:rsidTr="00D71343">
        <w:trPr>
          <w:trHeight w:val="288"/>
        </w:trPr>
        <w:tc>
          <w:tcPr>
            <w:tcW w:w="2074" w:type="pct"/>
            <w:tcBorders>
              <w:top w:val="single" w:sz="4" w:space="0" w:color="auto"/>
              <w:left w:val="single" w:sz="8" w:space="0" w:color="auto"/>
              <w:bottom w:val="single" w:sz="8" w:space="0" w:color="auto"/>
              <w:right w:val="nil"/>
            </w:tcBorders>
            <w:shd w:val="clear" w:color="auto" w:fill="auto"/>
            <w:noWrap/>
            <w:vAlign w:val="bottom"/>
            <w:hideMark/>
          </w:tcPr>
          <w:p w14:paraId="7724942E" w14:textId="77777777" w:rsidR="00044A8E" w:rsidRDefault="00044A8E">
            <w:pPr>
              <w:rPr>
                <w:b/>
                <w:bCs/>
                <w:color w:val="000000"/>
                <w:sz w:val="22"/>
                <w:szCs w:val="22"/>
              </w:rPr>
            </w:pPr>
            <w:r>
              <w:rPr>
                <w:b/>
                <w:bCs/>
                <w:color w:val="000000"/>
                <w:sz w:val="22"/>
                <w:szCs w:val="22"/>
              </w:rPr>
              <w:t>Υπόλοιπο Ιδίων Κεφαλαίων 31/12/2019</w:t>
            </w:r>
          </w:p>
        </w:tc>
        <w:tc>
          <w:tcPr>
            <w:tcW w:w="270" w:type="pct"/>
            <w:tcBorders>
              <w:top w:val="single" w:sz="4" w:space="0" w:color="auto"/>
              <w:left w:val="nil"/>
              <w:bottom w:val="single" w:sz="8" w:space="0" w:color="auto"/>
              <w:right w:val="single" w:sz="8" w:space="0" w:color="auto"/>
            </w:tcBorders>
            <w:shd w:val="clear" w:color="auto" w:fill="auto"/>
            <w:noWrap/>
            <w:vAlign w:val="bottom"/>
            <w:hideMark/>
          </w:tcPr>
          <w:p w14:paraId="515594AF" w14:textId="77777777" w:rsidR="00044A8E" w:rsidRDefault="00044A8E">
            <w:pPr>
              <w:rPr>
                <w:b/>
                <w:bCs/>
                <w:color w:val="000000"/>
                <w:sz w:val="22"/>
                <w:szCs w:val="22"/>
              </w:rPr>
            </w:pPr>
            <w:r>
              <w:rPr>
                <w:b/>
                <w:bCs/>
                <w:color w:val="000000"/>
                <w:sz w:val="22"/>
                <w:szCs w:val="22"/>
              </w:rPr>
              <w:t> </w:t>
            </w:r>
          </w:p>
        </w:tc>
        <w:tc>
          <w:tcPr>
            <w:tcW w:w="624" w:type="pct"/>
            <w:tcBorders>
              <w:top w:val="single" w:sz="4" w:space="0" w:color="auto"/>
              <w:left w:val="nil"/>
              <w:bottom w:val="single" w:sz="8" w:space="0" w:color="auto"/>
              <w:right w:val="single" w:sz="8" w:space="0" w:color="auto"/>
            </w:tcBorders>
            <w:shd w:val="clear" w:color="auto" w:fill="auto"/>
            <w:noWrap/>
            <w:vAlign w:val="bottom"/>
            <w:hideMark/>
          </w:tcPr>
          <w:p w14:paraId="5B35CDAC" w14:textId="77777777" w:rsidR="00044A8E" w:rsidRDefault="00044A8E">
            <w:pPr>
              <w:jc w:val="right"/>
              <w:rPr>
                <w:b/>
                <w:bCs/>
                <w:color w:val="000000"/>
                <w:sz w:val="22"/>
                <w:szCs w:val="22"/>
              </w:rPr>
            </w:pPr>
            <w:r>
              <w:rPr>
                <w:b/>
                <w:bCs/>
                <w:color w:val="000000"/>
                <w:sz w:val="22"/>
                <w:szCs w:val="22"/>
              </w:rPr>
              <w:t>1.005.500,00</w:t>
            </w:r>
          </w:p>
        </w:tc>
        <w:tc>
          <w:tcPr>
            <w:tcW w:w="591" w:type="pct"/>
            <w:tcBorders>
              <w:top w:val="single" w:sz="4" w:space="0" w:color="auto"/>
              <w:left w:val="nil"/>
              <w:bottom w:val="single" w:sz="8" w:space="0" w:color="auto"/>
              <w:right w:val="single" w:sz="8" w:space="0" w:color="auto"/>
            </w:tcBorders>
            <w:shd w:val="clear" w:color="auto" w:fill="auto"/>
            <w:noWrap/>
            <w:vAlign w:val="bottom"/>
            <w:hideMark/>
          </w:tcPr>
          <w:p w14:paraId="3A201FFE" w14:textId="77777777" w:rsidR="00044A8E" w:rsidRDefault="00044A8E">
            <w:pPr>
              <w:jc w:val="right"/>
              <w:rPr>
                <w:b/>
                <w:bCs/>
                <w:color w:val="000000"/>
                <w:sz w:val="22"/>
                <w:szCs w:val="22"/>
              </w:rPr>
            </w:pPr>
            <w:r>
              <w:rPr>
                <w:b/>
                <w:bCs/>
                <w:color w:val="000000"/>
                <w:sz w:val="22"/>
                <w:szCs w:val="22"/>
              </w:rPr>
              <w:t>1.336.500,00</w:t>
            </w:r>
          </w:p>
        </w:tc>
        <w:tc>
          <w:tcPr>
            <w:tcW w:w="778" w:type="pct"/>
            <w:tcBorders>
              <w:top w:val="single" w:sz="4" w:space="0" w:color="auto"/>
              <w:left w:val="nil"/>
              <w:bottom w:val="single" w:sz="8" w:space="0" w:color="auto"/>
              <w:right w:val="single" w:sz="8" w:space="0" w:color="auto"/>
            </w:tcBorders>
            <w:shd w:val="clear" w:color="auto" w:fill="auto"/>
            <w:noWrap/>
            <w:vAlign w:val="bottom"/>
            <w:hideMark/>
          </w:tcPr>
          <w:p w14:paraId="7D782B50" w14:textId="77777777" w:rsidR="00044A8E" w:rsidRDefault="00044A8E">
            <w:pPr>
              <w:jc w:val="right"/>
              <w:rPr>
                <w:b/>
                <w:bCs/>
                <w:color w:val="000000"/>
                <w:sz w:val="22"/>
                <w:szCs w:val="22"/>
              </w:rPr>
            </w:pPr>
            <w:r>
              <w:rPr>
                <w:b/>
                <w:bCs/>
                <w:color w:val="000000"/>
                <w:sz w:val="22"/>
                <w:szCs w:val="22"/>
              </w:rPr>
              <w:t>-2.830.380,35</w:t>
            </w:r>
          </w:p>
        </w:tc>
        <w:tc>
          <w:tcPr>
            <w:tcW w:w="663" w:type="pct"/>
            <w:tcBorders>
              <w:top w:val="single" w:sz="4" w:space="0" w:color="auto"/>
              <w:left w:val="nil"/>
              <w:bottom w:val="single" w:sz="8" w:space="0" w:color="auto"/>
              <w:right w:val="single" w:sz="8" w:space="0" w:color="auto"/>
            </w:tcBorders>
            <w:shd w:val="clear" w:color="auto" w:fill="auto"/>
            <w:noWrap/>
            <w:vAlign w:val="bottom"/>
            <w:hideMark/>
          </w:tcPr>
          <w:p w14:paraId="06228651" w14:textId="77777777" w:rsidR="00044A8E" w:rsidRDefault="00044A8E">
            <w:pPr>
              <w:jc w:val="right"/>
              <w:rPr>
                <w:b/>
                <w:bCs/>
                <w:color w:val="000000"/>
                <w:sz w:val="22"/>
                <w:szCs w:val="22"/>
              </w:rPr>
            </w:pPr>
            <w:r>
              <w:rPr>
                <w:b/>
                <w:bCs/>
                <w:color w:val="000000"/>
                <w:sz w:val="22"/>
                <w:szCs w:val="22"/>
              </w:rPr>
              <w:t>-488.380,35</w:t>
            </w:r>
          </w:p>
        </w:tc>
      </w:tr>
      <w:tr w:rsidR="00D71343" w14:paraId="51E54829" w14:textId="77777777" w:rsidTr="00D71343">
        <w:trPr>
          <w:trHeight w:val="276"/>
        </w:trPr>
        <w:tc>
          <w:tcPr>
            <w:tcW w:w="2074" w:type="pct"/>
            <w:tcBorders>
              <w:top w:val="nil"/>
              <w:left w:val="single" w:sz="8" w:space="0" w:color="auto"/>
              <w:bottom w:val="nil"/>
              <w:right w:val="nil"/>
            </w:tcBorders>
            <w:shd w:val="clear" w:color="auto" w:fill="auto"/>
            <w:vAlign w:val="bottom"/>
            <w:hideMark/>
          </w:tcPr>
          <w:p w14:paraId="688A000A" w14:textId="77777777" w:rsidR="00044A8E" w:rsidRDefault="00044A8E">
            <w:pPr>
              <w:rPr>
                <w:color w:val="000000"/>
                <w:sz w:val="22"/>
                <w:szCs w:val="22"/>
              </w:rPr>
            </w:pPr>
            <w:r>
              <w:rPr>
                <w:color w:val="000000"/>
                <w:sz w:val="22"/>
                <w:szCs w:val="22"/>
              </w:rPr>
              <w:t>Αποτελέσματα περιόδου</w:t>
            </w:r>
          </w:p>
        </w:tc>
        <w:tc>
          <w:tcPr>
            <w:tcW w:w="270" w:type="pct"/>
            <w:tcBorders>
              <w:top w:val="nil"/>
              <w:left w:val="nil"/>
              <w:bottom w:val="nil"/>
              <w:right w:val="single" w:sz="8" w:space="0" w:color="auto"/>
            </w:tcBorders>
            <w:shd w:val="clear" w:color="auto" w:fill="auto"/>
            <w:noWrap/>
            <w:vAlign w:val="bottom"/>
            <w:hideMark/>
          </w:tcPr>
          <w:p w14:paraId="11307174" w14:textId="77777777" w:rsidR="00044A8E" w:rsidRDefault="00044A8E">
            <w:pPr>
              <w:jc w:val="center"/>
              <w:rPr>
                <w:color w:val="000000"/>
                <w:sz w:val="22"/>
                <w:szCs w:val="22"/>
              </w:rPr>
            </w:pPr>
            <w:r>
              <w:rPr>
                <w:color w:val="000000"/>
                <w:sz w:val="22"/>
                <w:szCs w:val="22"/>
              </w:rPr>
              <w:t> </w:t>
            </w:r>
          </w:p>
        </w:tc>
        <w:tc>
          <w:tcPr>
            <w:tcW w:w="624" w:type="pct"/>
            <w:tcBorders>
              <w:top w:val="nil"/>
              <w:left w:val="nil"/>
              <w:bottom w:val="nil"/>
              <w:right w:val="single" w:sz="8" w:space="0" w:color="auto"/>
            </w:tcBorders>
            <w:shd w:val="clear" w:color="auto" w:fill="auto"/>
            <w:vAlign w:val="bottom"/>
            <w:hideMark/>
          </w:tcPr>
          <w:p w14:paraId="0A7D1F40" w14:textId="77777777" w:rsidR="00044A8E" w:rsidRDefault="00044A8E">
            <w:pPr>
              <w:jc w:val="right"/>
              <w:rPr>
                <w:color w:val="000000"/>
                <w:sz w:val="22"/>
                <w:szCs w:val="22"/>
              </w:rPr>
            </w:pPr>
            <w:r>
              <w:rPr>
                <w:color w:val="000000"/>
                <w:sz w:val="22"/>
                <w:szCs w:val="22"/>
              </w:rPr>
              <w:t> </w:t>
            </w:r>
          </w:p>
        </w:tc>
        <w:tc>
          <w:tcPr>
            <w:tcW w:w="591" w:type="pct"/>
            <w:tcBorders>
              <w:top w:val="nil"/>
              <w:left w:val="nil"/>
              <w:bottom w:val="nil"/>
              <w:right w:val="single" w:sz="8" w:space="0" w:color="auto"/>
            </w:tcBorders>
            <w:shd w:val="clear" w:color="auto" w:fill="auto"/>
            <w:vAlign w:val="bottom"/>
            <w:hideMark/>
          </w:tcPr>
          <w:p w14:paraId="7D247EE3" w14:textId="77777777" w:rsidR="00044A8E" w:rsidRDefault="00044A8E">
            <w:pPr>
              <w:jc w:val="right"/>
              <w:rPr>
                <w:color w:val="000000"/>
                <w:sz w:val="22"/>
                <w:szCs w:val="22"/>
              </w:rPr>
            </w:pPr>
            <w:r>
              <w:rPr>
                <w:color w:val="000000"/>
                <w:sz w:val="22"/>
                <w:szCs w:val="22"/>
              </w:rPr>
              <w:t> </w:t>
            </w:r>
          </w:p>
        </w:tc>
        <w:tc>
          <w:tcPr>
            <w:tcW w:w="778" w:type="pct"/>
            <w:tcBorders>
              <w:top w:val="nil"/>
              <w:left w:val="nil"/>
              <w:bottom w:val="nil"/>
              <w:right w:val="single" w:sz="8" w:space="0" w:color="auto"/>
            </w:tcBorders>
            <w:shd w:val="clear" w:color="auto" w:fill="auto"/>
            <w:vAlign w:val="bottom"/>
            <w:hideMark/>
          </w:tcPr>
          <w:p w14:paraId="7C24C3D8" w14:textId="77777777" w:rsidR="00044A8E" w:rsidRDefault="00044A8E">
            <w:pPr>
              <w:jc w:val="right"/>
              <w:rPr>
                <w:color w:val="000000"/>
                <w:sz w:val="22"/>
                <w:szCs w:val="22"/>
              </w:rPr>
            </w:pPr>
            <w:r>
              <w:rPr>
                <w:color w:val="000000"/>
                <w:sz w:val="22"/>
                <w:szCs w:val="22"/>
              </w:rPr>
              <w:t>-589,91</w:t>
            </w:r>
          </w:p>
        </w:tc>
        <w:tc>
          <w:tcPr>
            <w:tcW w:w="663" w:type="pct"/>
            <w:tcBorders>
              <w:top w:val="nil"/>
              <w:left w:val="nil"/>
              <w:bottom w:val="nil"/>
              <w:right w:val="single" w:sz="8" w:space="0" w:color="auto"/>
            </w:tcBorders>
            <w:shd w:val="clear" w:color="auto" w:fill="auto"/>
            <w:vAlign w:val="bottom"/>
            <w:hideMark/>
          </w:tcPr>
          <w:p w14:paraId="297A3F90" w14:textId="77777777" w:rsidR="00044A8E" w:rsidRDefault="00044A8E">
            <w:pPr>
              <w:jc w:val="right"/>
              <w:rPr>
                <w:b/>
                <w:bCs/>
                <w:color w:val="000000"/>
                <w:sz w:val="22"/>
                <w:szCs w:val="22"/>
              </w:rPr>
            </w:pPr>
            <w:r>
              <w:rPr>
                <w:b/>
                <w:bCs/>
                <w:color w:val="000000"/>
                <w:sz w:val="22"/>
                <w:szCs w:val="22"/>
              </w:rPr>
              <w:t>-589,91</w:t>
            </w:r>
          </w:p>
        </w:tc>
      </w:tr>
      <w:tr w:rsidR="00044A8E" w14:paraId="78F1CFD4" w14:textId="77777777" w:rsidTr="00D71343">
        <w:trPr>
          <w:trHeight w:val="288"/>
        </w:trPr>
        <w:tc>
          <w:tcPr>
            <w:tcW w:w="2074" w:type="pct"/>
            <w:tcBorders>
              <w:top w:val="single" w:sz="4" w:space="0" w:color="auto"/>
              <w:left w:val="single" w:sz="8" w:space="0" w:color="auto"/>
              <w:bottom w:val="single" w:sz="8" w:space="0" w:color="auto"/>
              <w:right w:val="nil"/>
            </w:tcBorders>
            <w:shd w:val="clear" w:color="auto" w:fill="auto"/>
            <w:noWrap/>
            <w:vAlign w:val="bottom"/>
            <w:hideMark/>
          </w:tcPr>
          <w:p w14:paraId="640E265B" w14:textId="77777777" w:rsidR="00044A8E" w:rsidRDefault="00044A8E">
            <w:pPr>
              <w:rPr>
                <w:b/>
                <w:bCs/>
                <w:color w:val="000000"/>
                <w:sz w:val="22"/>
                <w:szCs w:val="22"/>
              </w:rPr>
            </w:pPr>
            <w:r>
              <w:rPr>
                <w:b/>
                <w:bCs/>
                <w:color w:val="000000"/>
                <w:sz w:val="22"/>
                <w:szCs w:val="22"/>
              </w:rPr>
              <w:t>Υπόλοιπο Ιδίων Κεφαλαίων 31/12/2020</w:t>
            </w:r>
          </w:p>
        </w:tc>
        <w:tc>
          <w:tcPr>
            <w:tcW w:w="270" w:type="pct"/>
            <w:tcBorders>
              <w:top w:val="single" w:sz="4" w:space="0" w:color="auto"/>
              <w:left w:val="nil"/>
              <w:bottom w:val="single" w:sz="8" w:space="0" w:color="auto"/>
              <w:right w:val="single" w:sz="8" w:space="0" w:color="auto"/>
            </w:tcBorders>
            <w:shd w:val="clear" w:color="auto" w:fill="auto"/>
            <w:noWrap/>
            <w:vAlign w:val="bottom"/>
            <w:hideMark/>
          </w:tcPr>
          <w:p w14:paraId="0DE26C9E" w14:textId="77777777" w:rsidR="00044A8E" w:rsidRDefault="00044A8E">
            <w:pPr>
              <w:rPr>
                <w:b/>
                <w:bCs/>
                <w:color w:val="000000"/>
                <w:sz w:val="22"/>
                <w:szCs w:val="22"/>
              </w:rPr>
            </w:pPr>
            <w:r>
              <w:rPr>
                <w:b/>
                <w:bCs/>
                <w:color w:val="000000"/>
                <w:sz w:val="22"/>
                <w:szCs w:val="22"/>
              </w:rPr>
              <w:t> </w:t>
            </w:r>
          </w:p>
        </w:tc>
        <w:tc>
          <w:tcPr>
            <w:tcW w:w="624" w:type="pct"/>
            <w:tcBorders>
              <w:top w:val="single" w:sz="4" w:space="0" w:color="auto"/>
              <w:left w:val="nil"/>
              <w:bottom w:val="single" w:sz="8" w:space="0" w:color="auto"/>
              <w:right w:val="single" w:sz="8" w:space="0" w:color="auto"/>
            </w:tcBorders>
            <w:shd w:val="clear" w:color="auto" w:fill="auto"/>
            <w:noWrap/>
            <w:vAlign w:val="bottom"/>
            <w:hideMark/>
          </w:tcPr>
          <w:p w14:paraId="426DB108" w14:textId="77777777" w:rsidR="00044A8E" w:rsidRDefault="00044A8E">
            <w:pPr>
              <w:jc w:val="right"/>
              <w:rPr>
                <w:b/>
                <w:bCs/>
                <w:color w:val="000000"/>
                <w:sz w:val="22"/>
                <w:szCs w:val="22"/>
              </w:rPr>
            </w:pPr>
            <w:r>
              <w:rPr>
                <w:b/>
                <w:bCs/>
                <w:color w:val="000000"/>
                <w:sz w:val="22"/>
                <w:szCs w:val="22"/>
              </w:rPr>
              <w:t>1.005.500,00</w:t>
            </w:r>
          </w:p>
        </w:tc>
        <w:tc>
          <w:tcPr>
            <w:tcW w:w="591" w:type="pct"/>
            <w:tcBorders>
              <w:top w:val="single" w:sz="4" w:space="0" w:color="auto"/>
              <w:left w:val="nil"/>
              <w:bottom w:val="single" w:sz="8" w:space="0" w:color="auto"/>
              <w:right w:val="single" w:sz="8" w:space="0" w:color="auto"/>
            </w:tcBorders>
            <w:shd w:val="clear" w:color="auto" w:fill="auto"/>
            <w:noWrap/>
            <w:vAlign w:val="bottom"/>
            <w:hideMark/>
          </w:tcPr>
          <w:p w14:paraId="052D4C43" w14:textId="77777777" w:rsidR="00044A8E" w:rsidRDefault="00044A8E">
            <w:pPr>
              <w:jc w:val="right"/>
              <w:rPr>
                <w:b/>
                <w:bCs/>
                <w:color w:val="000000"/>
                <w:sz w:val="22"/>
                <w:szCs w:val="22"/>
              </w:rPr>
            </w:pPr>
            <w:r>
              <w:rPr>
                <w:b/>
                <w:bCs/>
                <w:color w:val="000000"/>
                <w:sz w:val="22"/>
                <w:szCs w:val="22"/>
              </w:rPr>
              <w:t>1.336.500,00</w:t>
            </w:r>
          </w:p>
        </w:tc>
        <w:tc>
          <w:tcPr>
            <w:tcW w:w="778" w:type="pct"/>
            <w:tcBorders>
              <w:top w:val="single" w:sz="4" w:space="0" w:color="auto"/>
              <w:left w:val="nil"/>
              <w:bottom w:val="single" w:sz="8" w:space="0" w:color="auto"/>
              <w:right w:val="single" w:sz="8" w:space="0" w:color="auto"/>
            </w:tcBorders>
            <w:shd w:val="clear" w:color="auto" w:fill="auto"/>
            <w:noWrap/>
            <w:vAlign w:val="bottom"/>
            <w:hideMark/>
          </w:tcPr>
          <w:p w14:paraId="35D35D57" w14:textId="77777777" w:rsidR="00044A8E" w:rsidRDefault="00044A8E">
            <w:pPr>
              <w:jc w:val="right"/>
              <w:rPr>
                <w:b/>
                <w:bCs/>
                <w:color w:val="000000"/>
                <w:sz w:val="22"/>
                <w:szCs w:val="22"/>
              </w:rPr>
            </w:pPr>
            <w:r>
              <w:rPr>
                <w:b/>
                <w:bCs/>
                <w:color w:val="000000"/>
                <w:sz w:val="22"/>
                <w:szCs w:val="22"/>
              </w:rPr>
              <w:t>-2.830.970,26</w:t>
            </w:r>
          </w:p>
        </w:tc>
        <w:tc>
          <w:tcPr>
            <w:tcW w:w="663" w:type="pct"/>
            <w:tcBorders>
              <w:top w:val="single" w:sz="4" w:space="0" w:color="auto"/>
              <w:left w:val="nil"/>
              <w:bottom w:val="single" w:sz="8" w:space="0" w:color="auto"/>
              <w:right w:val="single" w:sz="8" w:space="0" w:color="auto"/>
            </w:tcBorders>
            <w:shd w:val="clear" w:color="auto" w:fill="auto"/>
            <w:noWrap/>
            <w:vAlign w:val="bottom"/>
            <w:hideMark/>
          </w:tcPr>
          <w:p w14:paraId="08B09286" w14:textId="77777777" w:rsidR="00044A8E" w:rsidRDefault="00044A8E">
            <w:pPr>
              <w:jc w:val="right"/>
              <w:rPr>
                <w:b/>
                <w:bCs/>
                <w:color w:val="000000"/>
                <w:sz w:val="22"/>
                <w:szCs w:val="22"/>
              </w:rPr>
            </w:pPr>
            <w:r>
              <w:rPr>
                <w:b/>
                <w:bCs/>
                <w:color w:val="000000"/>
                <w:sz w:val="22"/>
                <w:szCs w:val="22"/>
              </w:rPr>
              <w:t>-488.970,26</w:t>
            </w:r>
          </w:p>
        </w:tc>
      </w:tr>
    </w:tbl>
    <w:p w14:paraId="6FBEFE36" w14:textId="77777777" w:rsidR="00113FF0" w:rsidRPr="00A131AE" w:rsidRDefault="00113FF0" w:rsidP="00442E06">
      <w:pPr>
        <w:shd w:val="clear" w:color="auto" w:fill="FFFFFF"/>
        <w:spacing w:after="200" w:line="276" w:lineRule="auto"/>
        <w:ind w:right="14"/>
        <w:rPr>
          <w:b/>
          <w:sz w:val="22"/>
          <w:szCs w:val="22"/>
          <w:highlight w:val="yellow"/>
        </w:rPr>
        <w:sectPr w:rsidR="00113FF0" w:rsidRPr="00A131AE" w:rsidSect="00887C7B">
          <w:headerReference w:type="default" r:id="rId19"/>
          <w:footerReference w:type="default" r:id="rId20"/>
          <w:pgSz w:w="16838" w:h="11906" w:orient="landscape"/>
          <w:pgMar w:top="1418" w:right="1418" w:bottom="1418" w:left="1418" w:header="709" w:footer="709" w:gutter="0"/>
          <w:cols w:space="708"/>
          <w:docGrid w:linePitch="360"/>
        </w:sectPr>
      </w:pPr>
    </w:p>
    <w:p w14:paraId="0D2B43BF" w14:textId="77777777" w:rsidR="00442E06" w:rsidRPr="00A131AE" w:rsidRDefault="00442E06" w:rsidP="00B82D0D">
      <w:pPr>
        <w:spacing w:after="200" w:line="276" w:lineRule="auto"/>
        <w:rPr>
          <w:b/>
          <w:bCs/>
          <w:i/>
          <w:iCs/>
          <w:color w:val="000000"/>
          <w:sz w:val="22"/>
          <w:szCs w:val="22"/>
          <w:highlight w:val="yellow"/>
          <w:u w:val="single"/>
        </w:rPr>
      </w:pPr>
    </w:p>
    <w:p w14:paraId="4FD2C00A" w14:textId="77777777" w:rsidR="0077094D" w:rsidRPr="00253B1B" w:rsidRDefault="00792AFF" w:rsidP="0077094D">
      <w:pPr>
        <w:pStyle w:val="1"/>
        <w:rPr>
          <w:lang w:val="el-GR"/>
        </w:rPr>
      </w:pPr>
      <w:bookmarkStart w:id="12" w:name="_Toc488058531"/>
      <w:bookmarkStart w:id="13" w:name="_Toc15545992"/>
      <w:r w:rsidRPr="00253B1B">
        <w:t>Προσάρτημα (σημειώσεις) επί των χρηματοοικονομικών καταστάσεων</w:t>
      </w:r>
      <w:r w:rsidR="00B3587C" w:rsidRPr="00253B1B">
        <w:t xml:space="preserve"> </w:t>
      </w:r>
      <w:bookmarkStart w:id="14" w:name="_Toc447633678"/>
      <w:r w:rsidR="00F14C81" w:rsidRPr="00253B1B">
        <w:br/>
      </w:r>
      <w:r w:rsidR="00B3587C" w:rsidRPr="00253B1B">
        <w:t>της</w:t>
      </w:r>
      <w:bookmarkEnd w:id="14"/>
      <w:r w:rsidR="00B3587C" w:rsidRPr="00253B1B">
        <w:t xml:space="preserve"> </w:t>
      </w:r>
      <w:bookmarkStart w:id="15" w:name="_Toc447633679"/>
      <w:r w:rsidR="00F14C81" w:rsidRPr="00253B1B">
        <w:br/>
      </w:r>
      <w:r w:rsidR="00B3587C" w:rsidRPr="00253B1B">
        <w:t xml:space="preserve">31ης Δεκεμβρίου </w:t>
      </w:r>
      <w:bookmarkEnd w:id="15"/>
      <w:r w:rsidR="00257F20" w:rsidRPr="00253B1B">
        <w:rPr>
          <w:lang w:val="el-GR"/>
        </w:rPr>
        <w:t>20</w:t>
      </w:r>
      <w:bookmarkEnd w:id="12"/>
      <w:bookmarkEnd w:id="13"/>
      <w:r w:rsidR="00044A8E">
        <w:rPr>
          <w:lang w:val="el-GR"/>
        </w:rPr>
        <w:t>20</w:t>
      </w:r>
    </w:p>
    <w:p w14:paraId="631E2EAD" w14:textId="77777777" w:rsidR="00792AFF" w:rsidRPr="00253B1B" w:rsidRDefault="0077094D" w:rsidP="0077094D">
      <w:pPr>
        <w:pStyle w:val="1"/>
        <w:rPr>
          <w:lang w:val="el-GR"/>
        </w:rPr>
      </w:pPr>
      <w:bookmarkStart w:id="16" w:name="_Toc447633680"/>
      <w:bookmarkStart w:id="17" w:name="_Toc488058532"/>
      <w:bookmarkStart w:id="18" w:name="_Toc15545993"/>
      <w:r w:rsidRPr="00253B1B">
        <w:rPr>
          <w:lang w:val="el-GR"/>
        </w:rPr>
        <w:t>(Σύμφωνα με όσα προβλέπονται στο άρθρο 29 του Ν.4308/2014)</w:t>
      </w:r>
      <w:bookmarkEnd w:id="16"/>
      <w:bookmarkEnd w:id="17"/>
      <w:bookmarkEnd w:id="18"/>
    </w:p>
    <w:p w14:paraId="17F18408" w14:textId="77777777" w:rsidR="0075005E" w:rsidRPr="00253B1B" w:rsidRDefault="0075005E" w:rsidP="0075005E">
      <w:pPr>
        <w:rPr>
          <w:lang w:eastAsia="en-US"/>
        </w:rPr>
      </w:pPr>
    </w:p>
    <w:p w14:paraId="2762F0F0" w14:textId="77777777" w:rsidR="004A2266" w:rsidRPr="00253B1B" w:rsidRDefault="004A2266" w:rsidP="004A2266">
      <w:pPr>
        <w:rPr>
          <w:lang w:eastAsia="en-US"/>
        </w:rPr>
      </w:pPr>
    </w:p>
    <w:p w14:paraId="19C1EC59" w14:textId="77777777" w:rsidR="00FF2F42" w:rsidRPr="00253B1B" w:rsidRDefault="00FF2F42" w:rsidP="00EA17C8">
      <w:pPr>
        <w:pStyle w:val="1"/>
        <w:spacing w:after="160"/>
        <w:jc w:val="left"/>
      </w:pPr>
      <w:bookmarkStart w:id="19" w:name="_Toc488058533"/>
      <w:bookmarkStart w:id="20" w:name="_Toc15545994"/>
      <w:bookmarkEnd w:id="0"/>
      <w:r w:rsidRPr="00253B1B">
        <w:t>﻿1. Π</w:t>
      </w:r>
      <w:r w:rsidR="007C7A23" w:rsidRPr="00253B1B">
        <w:t xml:space="preserve">ληροφορίες σχετικές με την </w:t>
      </w:r>
      <w:r w:rsidR="00F2647B" w:rsidRPr="00253B1B">
        <w:t>Εταιρεία</w:t>
      </w:r>
      <w:bookmarkEnd w:id="19"/>
      <w:bookmarkEnd w:id="20"/>
    </w:p>
    <w:p w14:paraId="3F94DEE9" w14:textId="77777777" w:rsidR="00FF2F42" w:rsidRPr="00253B1B" w:rsidRDefault="00670839" w:rsidP="00EA17C8">
      <w:pPr>
        <w:shd w:val="clear" w:color="auto" w:fill="FFFFFF"/>
        <w:spacing w:after="160" w:line="276" w:lineRule="auto"/>
        <w:ind w:left="851" w:right="14" w:hanging="284"/>
        <w:jc w:val="both"/>
        <w:rPr>
          <w:sz w:val="22"/>
          <w:szCs w:val="22"/>
          <w:lang w:val="x-none"/>
        </w:rPr>
      </w:pPr>
      <w:r w:rsidRPr="00253B1B">
        <w:rPr>
          <w:rStyle w:val="FontStyle49"/>
          <w:b w:val="0"/>
          <w:sz w:val="22"/>
          <w:szCs w:val="22"/>
        </w:rPr>
        <w:t xml:space="preserve">α) </w:t>
      </w:r>
      <w:r w:rsidR="00FF2F42" w:rsidRPr="00253B1B">
        <w:rPr>
          <w:rStyle w:val="FontStyle49"/>
          <w:b w:val="0"/>
          <w:sz w:val="22"/>
          <w:szCs w:val="22"/>
        </w:rPr>
        <w:t>Επωνυμία:</w:t>
      </w:r>
      <w:r w:rsidR="00FF2F42" w:rsidRPr="00253B1B">
        <w:rPr>
          <w:rStyle w:val="FontStyle49"/>
          <w:sz w:val="22"/>
          <w:szCs w:val="22"/>
        </w:rPr>
        <w:t xml:space="preserve"> </w:t>
      </w:r>
      <w:r w:rsidR="00743AF3" w:rsidRPr="00253B1B">
        <w:rPr>
          <w:rStyle w:val="FontStyle49"/>
          <w:b w:val="0"/>
          <w:sz w:val="22"/>
          <w:szCs w:val="22"/>
        </w:rPr>
        <w:t>«ΕΛΛΗΝΙΚΑ ΦΑΡΜΑΚΑ - ΕΡΕΥΝΑ ΚΑΙ ΑΝΑΠΤΥΞΗ - ΑΝΩNΥΜΗ ΕΤΑΙΡΕΙΑ» με τον διακριτικό τίτλο</w:t>
      </w:r>
      <w:r w:rsidR="00743AF3" w:rsidRPr="00253B1B">
        <w:rPr>
          <w:rStyle w:val="FontStyle49"/>
          <w:b w:val="0"/>
          <w:bCs w:val="0"/>
          <w:sz w:val="22"/>
          <w:szCs w:val="22"/>
        </w:rPr>
        <w:t xml:space="preserve"> </w:t>
      </w:r>
      <w:r w:rsidR="00743AF3" w:rsidRPr="00253B1B">
        <w:rPr>
          <w:rStyle w:val="FontStyle49"/>
          <w:b w:val="0"/>
          <w:sz w:val="22"/>
          <w:szCs w:val="22"/>
        </w:rPr>
        <w:t>«</w:t>
      </w:r>
      <w:r w:rsidR="00743AF3" w:rsidRPr="00253B1B">
        <w:rPr>
          <w:rStyle w:val="FontStyle49"/>
          <w:b w:val="0"/>
          <w:bCs w:val="0"/>
          <w:sz w:val="22"/>
          <w:szCs w:val="22"/>
        </w:rPr>
        <w:t>ELDRUG Α.Ε.</w:t>
      </w:r>
      <w:r w:rsidR="00743AF3" w:rsidRPr="00253B1B">
        <w:rPr>
          <w:rStyle w:val="FontStyle49"/>
          <w:b w:val="0"/>
          <w:sz w:val="22"/>
          <w:szCs w:val="22"/>
        </w:rPr>
        <w:t>»</w:t>
      </w:r>
    </w:p>
    <w:p w14:paraId="4D385C8C" w14:textId="77777777" w:rsidR="00FF2F42" w:rsidRPr="00253B1B" w:rsidRDefault="00FF2F42" w:rsidP="00EA17C8">
      <w:pPr>
        <w:shd w:val="clear" w:color="auto" w:fill="FFFFFF"/>
        <w:spacing w:after="160" w:line="276" w:lineRule="auto"/>
        <w:ind w:left="851" w:right="14" w:hanging="284"/>
        <w:jc w:val="both"/>
        <w:rPr>
          <w:sz w:val="22"/>
          <w:szCs w:val="22"/>
        </w:rPr>
      </w:pPr>
      <w:r w:rsidRPr="00253B1B">
        <w:rPr>
          <w:sz w:val="22"/>
          <w:szCs w:val="22"/>
        </w:rPr>
        <w:t xml:space="preserve">β) Νομικός τύπος: </w:t>
      </w:r>
      <w:r w:rsidRPr="00253B1B">
        <w:rPr>
          <w:rStyle w:val="FontStyle49"/>
          <w:b w:val="0"/>
          <w:sz w:val="22"/>
          <w:szCs w:val="22"/>
        </w:rPr>
        <w:t>Ανώνυμη εταιρεία.</w:t>
      </w:r>
    </w:p>
    <w:p w14:paraId="064340C7" w14:textId="77777777" w:rsidR="00FF2F42" w:rsidRPr="00253B1B" w:rsidRDefault="00FF2F42" w:rsidP="00EA17C8">
      <w:pPr>
        <w:shd w:val="clear" w:color="auto" w:fill="FFFFFF"/>
        <w:spacing w:after="160" w:line="276" w:lineRule="auto"/>
        <w:ind w:left="851" w:right="14" w:hanging="284"/>
        <w:jc w:val="both"/>
        <w:rPr>
          <w:sz w:val="22"/>
          <w:szCs w:val="22"/>
        </w:rPr>
      </w:pPr>
      <w:r w:rsidRPr="00253B1B">
        <w:rPr>
          <w:sz w:val="22"/>
          <w:szCs w:val="22"/>
        </w:rPr>
        <w:t>γ) Περίοδος αναφοράς: 1.1.</w:t>
      </w:r>
      <w:r w:rsidR="00044A8E">
        <w:rPr>
          <w:sz w:val="22"/>
          <w:szCs w:val="22"/>
        </w:rPr>
        <w:t>2020 - 31.12.2020</w:t>
      </w:r>
    </w:p>
    <w:p w14:paraId="5D18C492" w14:textId="77777777" w:rsidR="00FF2F42" w:rsidRPr="00253B1B" w:rsidRDefault="00FF2F42" w:rsidP="00EA17C8">
      <w:pPr>
        <w:shd w:val="clear" w:color="auto" w:fill="FFFFFF"/>
        <w:spacing w:after="160" w:line="276" w:lineRule="auto"/>
        <w:ind w:left="851" w:right="14" w:hanging="284"/>
        <w:jc w:val="both"/>
        <w:rPr>
          <w:sz w:val="22"/>
          <w:szCs w:val="22"/>
          <w:lang w:val="x-none"/>
        </w:rPr>
      </w:pPr>
      <w:r w:rsidRPr="00253B1B">
        <w:rPr>
          <w:sz w:val="22"/>
          <w:szCs w:val="22"/>
        </w:rPr>
        <w:t xml:space="preserve">δ) </w:t>
      </w:r>
      <w:r w:rsidR="00670839" w:rsidRPr="00253B1B">
        <w:rPr>
          <w:sz w:val="22"/>
          <w:szCs w:val="22"/>
        </w:rPr>
        <w:tab/>
      </w:r>
      <w:r w:rsidRPr="00253B1B">
        <w:rPr>
          <w:sz w:val="22"/>
          <w:szCs w:val="22"/>
        </w:rPr>
        <w:t xml:space="preserve">Διεύθυνση της έδρας: </w:t>
      </w:r>
      <w:r w:rsidR="009A4A4B" w:rsidRPr="00253B1B">
        <w:rPr>
          <w:sz w:val="22"/>
          <w:szCs w:val="22"/>
        </w:rPr>
        <w:t>«ΕΛΛΗΝΙΚΑ ΦΑΡΜΑΚΑ - ΕΡΕΥΝΑ ΚΑΙ ΑΝΑΠΤΥΞΗ - ΑΝΩNΥΜΗ ΕΤΑΙΡΕΙΑ» με τον διακριτικό τίτλο «ELDRUG Α.Ε.»</w:t>
      </w:r>
    </w:p>
    <w:p w14:paraId="1A39EA4F" w14:textId="77777777" w:rsidR="00FF2F42" w:rsidRPr="00253B1B" w:rsidRDefault="00670839" w:rsidP="00EA17C8">
      <w:pPr>
        <w:shd w:val="clear" w:color="auto" w:fill="FFFFFF"/>
        <w:spacing w:after="160" w:line="276" w:lineRule="auto"/>
        <w:ind w:left="851" w:right="14" w:hanging="284"/>
        <w:jc w:val="both"/>
        <w:rPr>
          <w:sz w:val="22"/>
          <w:szCs w:val="22"/>
        </w:rPr>
      </w:pPr>
      <w:r w:rsidRPr="00253B1B">
        <w:rPr>
          <w:sz w:val="22"/>
          <w:szCs w:val="22"/>
        </w:rPr>
        <w:t>ε)</w:t>
      </w:r>
      <w:r w:rsidRPr="00253B1B">
        <w:rPr>
          <w:sz w:val="22"/>
          <w:szCs w:val="22"/>
        </w:rPr>
        <w:tab/>
      </w:r>
      <w:r w:rsidR="00FF2F42" w:rsidRPr="00253B1B">
        <w:rPr>
          <w:sz w:val="22"/>
          <w:szCs w:val="22"/>
        </w:rPr>
        <w:t>Α.Μ.Α.Ε.:</w:t>
      </w:r>
      <w:r w:rsidR="00FC27D7" w:rsidRPr="00253B1B">
        <w:rPr>
          <w:sz w:val="22"/>
          <w:szCs w:val="22"/>
        </w:rPr>
        <w:t xml:space="preserve"> 61240/22/Β/06/34</w:t>
      </w:r>
    </w:p>
    <w:p w14:paraId="3ADEA74D" w14:textId="77777777" w:rsidR="00FF2F42" w:rsidRPr="00253B1B" w:rsidRDefault="00FF2F42" w:rsidP="00EA17C8">
      <w:pPr>
        <w:shd w:val="clear" w:color="auto" w:fill="FFFFFF"/>
        <w:spacing w:after="160" w:line="276" w:lineRule="auto"/>
        <w:ind w:left="131" w:right="14" w:firstLine="720"/>
        <w:jc w:val="both"/>
        <w:rPr>
          <w:sz w:val="22"/>
          <w:szCs w:val="22"/>
        </w:rPr>
      </w:pPr>
      <w:r w:rsidRPr="00253B1B">
        <w:rPr>
          <w:sz w:val="22"/>
          <w:szCs w:val="22"/>
        </w:rPr>
        <w:t xml:space="preserve">ΓΕ.ΜΗ.: </w:t>
      </w:r>
      <w:r w:rsidR="00102B39" w:rsidRPr="00253B1B">
        <w:rPr>
          <w:sz w:val="22"/>
          <w:szCs w:val="22"/>
        </w:rPr>
        <w:t>0</w:t>
      </w:r>
      <w:r w:rsidR="00FC27D7" w:rsidRPr="00253B1B">
        <w:rPr>
          <w:sz w:val="22"/>
          <w:szCs w:val="22"/>
        </w:rPr>
        <w:t>35522716000</w:t>
      </w:r>
    </w:p>
    <w:p w14:paraId="0AC4FD35" w14:textId="77777777" w:rsidR="00180837" w:rsidRPr="00253B1B" w:rsidRDefault="00FF2F42" w:rsidP="00EA17C8">
      <w:pPr>
        <w:shd w:val="clear" w:color="auto" w:fill="FFFFFF"/>
        <w:spacing w:after="160" w:line="276" w:lineRule="auto"/>
        <w:ind w:left="993" w:right="14" w:hanging="426"/>
        <w:jc w:val="both"/>
        <w:rPr>
          <w:sz w:val="22"/>
          <w:szCs w:val="22"/>
        </w:rPr>
      </w:pPr>
      <w:r w:rsidRPr="00253B1B">
        <w:rPr>
          <w:sz w:val="22"/>
          <w:szCs w:val="22"/>
        </w:rPr>
        <w:t>στ)</w:t>
      </w:r>
      <w:r w:rsidR="00670839" w:rsidRPr="00253B1B">
        <w:rPr>
          <w:sz w:val="22"/>
          <w:szCs w:val="22"/>
        </w:rPr>
        <w:tab/>
      </w:r>
      <w:r w:rsidRPr="00253B1B">
        <w:rPr>
          <w:sz w:val="22"/>
          <w:szCs w:val="22"/>
        </w:rPr>
        <w:t>Η διοίκηση εκτιμά ότι η παραδοχή της συνεχιζόμενης δραστηριότ</w:t>
      </w:r>
      <w:r w:rsidR="00670839" w:rsidRPr="00253B1B">
        <w:rPr>
          <w:sz w:val="22"/>
          <w:szCs w:val="22"/>
        </w:rPr>
        <w:t xml:space="preserve">ητας είναι ενδεδειγμένη για την </w:t>
      </w:r>
      <w:r w:rsidRPr="00253B1B">
        <w:rPr>
          <w:sz w:val="22"/>
          <w:szCs w:val="22"/>
        </w:rPr>
        <w:t xml:space="preserve">κατάρτιση των χρηματοοικονομικών καταστάσεων. </w:t>
      </w:r>
    </w:p>
    <w:p w14:paraId="423291A0" w14:textId="77777777" w:rsidR="00FF2F42" w:rsidRPr="00253B1B" w:rsidRDefault="00180837" w:rsidP="00EA17C8">
      <w:pPr>
        <w:shd w:val="clear" w:color="auto" w:fill="FFFFFF"/>
        <w:spacing w:after="160" w:line="276" w:lineRule="auto"/>
        <w:ind w:left="851" w:right="14" w:hanging="284"/>
        <w:jc w:val="both"/>
        <w:rPr>
          <w:sz w:val="22"/>
          <w:szCs w:val="22"/>
        </w:rPr>
      </w:pPr>
      <w:r w:rsidRPr="00253B1B">
        <w:rPr>
          <w:sz w:val="22"/>
          <w:szCs w:val="22"/>
        </w:rPr>
        <w:t>ζ</w:t>
      </w:r>
      <w:r w:rsidR="00FF2F42" w:rsidRPr="00253B1B">
        <w:rPr>
          <w:sz w:val="22"/>
          <w:szCs w:val="22"/>
        </w:rPr>
        <w:t>)</w:t>
      </w:r>
      <w:r w:rsidR="00670839" w:rsidRPr="00253B1B">
        <w:rPr>
          <w:sz w:val="22"/>
          <w:szCs w:val="22"/>
        </w:rPr>
        <w:tab/>
      </w:r>
      <w:r w:rsidR="00FF2F42" w:rsidRPr="00253B1B">
        <w:rPr>
          <w:sz w:val="22"/>
          <w:szCs w:val="22"/>
        </w:rPr>
        <w:t>Η ε</w:t>
      </w:r>
      <w:r w:rsidR="00711D21" w:rsidRPr="00253B1B">
        <w:rPr>
          <w:sz w:val="22"/>
          <w:szCs w:val="22"/>
        </w:rPr>
        <w:t xml:space="preserve">ταιρεία  ανήκει στην κατηγορία </w:t>
      </w:r>
      <w:r w:rsidR="00FF2F42" w:rsidRPr="00253B1B">
        <w:rPr>
          <w:sz w:val="22"/>
          <w:szCs w:val="22"/>
        </w:rPr>
        <w:t>πολύ μικρή οντότητα.</w:t>
      </w:r>
    </w:p>
    <w:p w14:paraId="290989E2" w14:textId="77777777" w:rsidR="00FF2F42" w:rsidRPr="00253B1B" w:rsidRDefault="00180837" w:rsidP="00EA17C8">
      <w:pPr>
        <w:shd w:val="clear" w:color="auto" w:fill="FFFFFF"/>
        <w:spacing w:after="160" w:line="276" w:lineRule="auto"/>
        <w:ind w:left="851" w:right="14" w:hanging="284"/>
        <w:jc w:val="both"/>
        <w:rPr>
          <w:sz w:val="22"/>
          <w:szCs w:val="22"/>
        </w:rPr>
      </w:pPr>
      <w:r w:rsidRPr="00253B1B">
        <w:rPr>
          <w:sz w:val="22"/>
          <w:szCs w:val="22"/>
        </w:rPr>
        <w:t>η</w:t>
      </w:r>
      <w:r w:rsidR="00FF2F42" w:rsidRPr="00253B1B">
        <w:rPr>
          <w:sz w:val="22"/>
          <w:szCs w:val="22"/>
        </w:rPr>
        <w:t xml:space="preserve">) </w:t>
      </w:r>
      <w:r w:rsidR="00670839" w:rsidRPr="00253B1B">
        <w:rPr>
          <w:sz w:val="22"/>
          <w:szCs w:val="22"/>
        </w:rPr>
        <w:tab/>
      </w:r>
      <w:r w:rsidR="00FF2F42" w:rsidRPr="00253B1B">
        <w:rPr>
          <w:sz w:val="22"/>
          <w:szCs w:val="22"/>
        </w:rPr>
        <w:t>Η διοίκηση δηλώνει ότι οι χρηματοοικονομικές καταστάσεις έχου</w:t>
      </w:r>
      <w:r w:rsidR="00670839" w:rsidRPr="00253B1B">
        <w:rPr>
          <w:sz w:val="22"/>
          <w:szCs w:val="22"/>
        </w:rPr>
        <w:t xml:space="preserve">ν καταρτιστεί σε πλήρη συμφωνία </w:t>
      </w:r>
      <w:r w:rsidR="00FF2F42" w:rsidRPr="00253B1B">
        <w:rPr>
          <w:sz w:val="22"/>
          <w:szCs w:val="22"/>
        </w:rPr>
        <w:t>με τον παρόντα νόμο.</w:t>
      </w:r>
    </w:p>
    <w:p w14:paraId="6DFB6603" w14:textId="77777777" w:rsidR="00180837" w:rsidRPr="00253B1B" w:rsidRDefault="00180837" w:rsidP="00EA17C8">
      <w:pPr>
        <w:shd w:val="clear" w:color="auto" w:fill="FFFFFF"/>
        <w:spacing w:after="160" w:line="276" w:lineRule="auto"/>
        <w:ind w:left="851" w:right="14" w:hanging="284"/>
        <w:jc w:val="both"/>
        <w:rPr>
          <w:sz w:val="22"/>
          <w:szCs w:val="22"/>
        </w:rPr>
      </w:pPr>
      <w:r w:rsidRPr="00253B1B">
        <w:rPr>
          <w:bCs/>
          <w:sz w:val="22"/>
          <w:szCs w:val="22"/>
        </w:rPr>
        <w:t>θ</w:t>
      </w:r>
      <w:r w:rsidR="00670839" w:rsidRPr="00253B1B">
        <w:rPr>
          <w:bCs/>
          <w:sz w:val="22"/>
          <w:szCs w:val="22"/>
        </w:rPr>
        <w:t>)</w:t>
      </w:r>
      <w:r w:rsidR="00670839" w:rsidRPr="00253B1B">
        <w:rPr>
          <w:bCs/>
          <w:sz w:val="22"/>
          <w:szCs w:val="22"/>
        </w:rPr>
        <w:tab/>
      </w:r>
      <w:r w:rsidRPr="00253B1B">
        <w:rPr>
          <w:bCs/>
          <w:sz w:val="22"/>
          <w:szCs w:val="22"/>
        </w:rPr>
        <w:t>Τα ποσά των χρηματοοικονομικών</w:t>
      </w:r>
      <w:r w:rsidRPr="00253B1B">
        <w:rPr>
          <w:sz w:val="22"/>
          <w:szCs w:val="22"/>
        </w:rPr>
        <w:t xml:space="preserve"> καταστάσεων εκφράζονται σε ευρώ, που αποτελεί το λειτουργικό νόμισμα της Εταιρείας. </w:t>
      </w:r>
    </w:p>
    <w:p w14:paraId="608562CB" w14:textId="77777777" w:rsidR="00180837" w:rsidRPr="00253B1B" w:rsidRDefault="00180837" w:rsidP="00EA17C8">
      <w:pPr>
        <w:shd w:val="clear" w:color="auto" w:fill="FFFFFF"/>
        <w:spacing w:after="160" w:line="276" w:lineRule="auto"/>
        <w:ind w:left="851" w:right="14" w:hanging="284"/>
        <w:jc w:val="both"/>
        <w:rPr>
          <w:sz w:val="22"/>
          <w:szCs w:val="22"/>
        </w:rPr>
      </w:pPr>
      <w:r w:rsidRPr="00253B1B">
        <w:rPr>
          <w:sz w:val="22"/>
          <w:szCs w:val="22"/>
        </w:rPr>
        <w:t>ι</w:t>
      </w:r>
      <w:r w:rsidR="00670839" w:rsidRPr="00253B1B">
        <w:rPr>
          <w:sz w:val="22"/>
          <w:szCs w:val="22"/>
        </w:rPr>
        <w:t>)</w:t>
      </w:r>
      <w:r w:rsidR="00670839" w:rsidRPr="00253B1B">
        <w:rPr>
          <w:sz w:val="22"/>
          <w:szCs w:val="22"/>
        </w:rPr>
        <w:tab/>
      </w:r>
      <w:r w:rsidRPr="00253B1B">
        <w:rPr>
          <w:sz w:val="22"/>
          <w:szCs w:val="22"/>
        </w:rPr>
        <w:t>Τα ποσά δεν έχουν στρογγυλοποιηθεί εκτός αν αναφέρεται διαφορετικά.</w:t>
      </w:r>
    </w:p>
    <w:p w14:paraId="782C008D" w14:textId="77777777" w:rsidR="00F2647B" w:rsidRPr="00253B1B" w:rsidRDefault="00FF2F42" w:rsidP="00EA17C8">
      <w:pPr>
        <w:pStyle w:val="1"/>
        <w:spacing w:after="160"/>
        <w:jc w:val="left"/>
      </w:pPr>
      <w:bookmarkStart w:id="21" w:name="_Toc488058534"/>
      <w:bookmarkStart w:id="22" w:name="_Toc15545995"/>
      <w:r w:rsidRPr="00253B1B">
        <w:t>2. Π</w:t>
      </w:r>
      <w:r w:rsidR="00F2647B" w:rsidRPr="00253B1B">
        <w:t>αράγοντες που θέτουν σε κίνδυνο την προοπτική της Εταιρείας ως συνεχιζόμενης δραστηριότητας</w:t>
      </w:r>
      <w:bookmarkEnd w:id="21"/>
      <w:bookmarkEnd w:id="22"/>
    </w:p>
    <w:p w14:paraId="4B1E1643" w14:textId="77777777" w:rsidR="0035127F" w:rsidRPr="00253B1B" w:rsidRDefault="00AC7B5E" w:rsidP="0035127F">
      <w:pPr>
        <w:shd w:val="clear" w:color="auto" w:fill="FFFFFF"/>
        <w:spacing w:after="200" w:line="276" w:lineRule="auto"/>
        <w:ind w:left="5" w:right="14" w:firstLine="562"/>
        <w:jc w:val="both"/>
        <w:rPr>
          <w:sz w:val="22"/>
          <w:szCs w:val="22"/>
        </w:rPr>
      </w:pPr>
      <w:r w:rsidRPr="00253B1B">
        <w:rPr>
          <w:sz w:val="22"/>
          <w:szCs w:val="22"/>
        </w:rPr>
        <w:t>Τα αρνητικά ίδια κεφάλαια και</w:t>
      </w:r>
      <w:r w:rsidR="001B4C86" w:rsidRPr="00253B1B">
        <w:rPr>
          <w:sz w:val="22"/>
          <w:szCs w:val="22"/>
        </w:rPr>
        <w:t xml:space="preserve"> </w:t>
      </w:r>
      <w:r w:rsidR="00474BEE" w:rsidRPr="00253B1B">
        <w:rPr>
          <w:sz w:val="22"/>
          <w:szCs w:val="22"/>
        </w:rPr>
        <w:t>το αρνητικό κεφάλαιο κίνησης</w:t>
      </w:r>
      <w:r w:rsidR="0035127F" w:rsidRPr="00253B1B">
        <w:rPr>
          <w:sz w:val="22"/>
          <w:szCs w:val="22"/>
        </w:rPr>
        <w:t xml:space="preserve"> προξενούν εύλογη αβεβαιότητα αναφορικά µε την δυνατότητα της εταιρείας να συνεχίσει την δραστηριότητά της. </w:t>
      </w:r>
    </w:p>
    <w:p w14:paraId="5C48D7B0" w14:textId="77777777" w:rsidR="0035127F" w:rsidRPr="00253B1B" w:rsidRDefault="0035127F" w:rsidP="0035127F">
      <w:pPr>
        <w:shd w:val="clear" w:color="auto" w:fill="FFFFFF"/>
        <w:spacing w:after="200" w:line="276" w:lineRule="auto"/>
        <w:ind w:left="5" w:right="14" w:firstLine="562"/>
        <w:jc w:val="both"/>
        <w:rPr>
          <w:sz w:val="22"/>
          <w:szCs w:val="22"/>
        </w:rPr>
      </w:pPr>
      <w:r w:rsidRPr="007A28F7">
        <w:rPr>
          <w:sz w:val="22"/>
          <w:szCs w:val="22"/>
        </w:rPr>
        <w:t xml:space="preserve">Η διοίκηση του </w:t>
      </w:r>
      <w:r w:rsidR="00253B1B" w:rsidRPr="007A28F7">
        <w:rPr>
          <w:sz w:val="22"/>
          <w:szCs w:val="22"/>
        </w:rPr>
        <w:t>ομίλου</w:t>
      </w:r>
      <w:r w:rsidRPr="007A28F7">
        <w:rPr>
          <w:sz w:val="22"/>
          <w:szCs w:val="22"/>
        </w:rPr>
        <w:t xml:space="preserve"> </w:t>
      </w:r>
      <w:r w:rsidR="003C1CFA" w:rsidRPr="007A28F7">
        <w:rPr>
          <w:sz w:val="22"/>
          <w:szCs w:val="22"/>
        </w:rPr>
        <w:t xml:space="preserve">ΒΙΑΝΕΞ, στον οποίο ανήκει η εταιρεία, </w:t>
      </w:r>
      <w:r w:rsidR="00253B1B" w:rsidRPr="007A28F7">
        <w:rPr>
          <w:sz w:val="22"/>
          <w:szCs w:val="22"/>
        </w:rPr>
        <w:t>λαμβάνοντας</w:t>
      </w:r>
      <w:r w:rsidRPr="007A28F7">
        <w:rPr>
          <w:sz w:val="22"/>
          <w:szCs w:val="22"/>
        </w:rPr>
        <w:t xml:space="preserve"> υπ’ όψη τις ανωτέρω αβεβαιότητες </w:t>
      </w:r>
      <w:r w:rsidR="00253B1B" w:rsidRPr="007A28F7">
        <w:rPr>
          <w:sz w:val="22"/>
          <w:szCs w:val="22"/>
        </w:rPr>
        <w:t>εκτιμά</w:t>
      </w:r>
      <w:r w:rsidRPr="007A28F7">
        <w:rPr>
          <w:sz w:val="22"/>
          <w:szCs w:val="22"/>
        </w:rPr>
        <w:t xml:space="preserve"> ότι η εταιρία θα μπορέσει να συνεχίσει για το προβλεπτό μέλλον την λειτουργία της </w:t>
      </w:r>
      <w:r w:rsidR="00253B1B" w:rsidRPr="007A28F7">
        <w:rPr>
          <w:sz w:val="22"/>
          <w:szCs w:val="22"/>
        </w:rPr>
        <w:t>δεδομένου</w:t>
      </w:r>
      <w:r w:rsidRPr="007A28F7">
        <w:rPr>
          <w:sz w:val="22"/>
          <w:szCs w:val="22"/>
        </w:rPr>
        <w:t xml:space="preserve"> ότι </w:t>
      </w:r>
      <w:r w:rsidR="002E5DD3">
        <w:rPr>
          <w:sz w:val="22"/>
          <w:szCs w:val="22"/>
        </w:rPr>
        <w:t>η μητρική εταιρία θα διαθέσει</w:t>
      </w:r>
      <w:r w:rsidRPr="007A28F7">
        <w:rPr>
          <w:sz w:val="22"/>
          <w:szCs w:val="22"/>
        </w:rPr>
        <w:t xml:space="preserve"> </w:t>
      </w:r>
      <w:r w:rsidR="002E5DD3">
        <w:rPr>
          <w:sz w:val="22"/>
          <w:szCs w:val="22"/>
        </w:rPr>
        <w:t>πόρους</w:t>
      </w:r>
      <w:r w:rsidRPr="007A28F7">
        <w:rPr>
          <w:sz w:val="22"/>
          <w:szCs w:val="22"/>
        </w:rPr>
        <w:t>, οι οποίοι εξασφαλίζουν τη συνέχιση της λειτουργίας της ως «δρώσα οικονομική μονάδα (Going Concern)».</w:t>
      </w:r>
    </w:p>
    <w:p w14:paraId="7187627C" w14:textId="77777777" w:rsidR="00FF2F42" w:rsidRPr="00253B1B" w:rsidRDefault="00FF2F42" w:rsidP="006949A7">
      <w:pPr>
        <w:pStyle w:val="1"/>
        <w:jc w:val="left"/>
        <w:rPr>
          <w:lang w:val="el-GR"/>
        </w:rPr>
      </w:pPr>
      <w:bookmarkStart w:id="23" w:name="_Toc488058535"/>
      <w:bookmarkStart w:id="24" w:name="_Toc15545996"/>
      <w:r w:rsidRPr="00253B1B">
        <w:t>3. Λ</w:t>
      </w:r>
      <w:r w:rsidR="00503C91" w:rsidRPr="00253B1B">
        <w:t>ογιστικές αρχές και μέθοδοι</w:t>
      </w:r>
      <w:bookmarkEnd w:id="23"/>
      <w:bookmarkEnd w:id="24"/>
    </w:p>
    <w:p w14:paraId="71DA304C" w14:textId="77777777" w:rsidR="0043517B" w:rsidRPr="00253B1B" w:rsidRDefault="0043517B" w:rsidP="0043517B">
      <w:pPr>
        <w:rPr>
          <w:sz w:val="14"/>
          <w:lang w:eastAsia="en-US"/>
        </w:rPr>
      </w:pPr>
    </w:p>
    <w:p w14:paraId="5A7BBA2F" w14:textId="77777777" w:rsidR="00180837" w:rsidRPr="00253B1B" w:rsidRDefault="00180837" w:rsidP="00B82D0D">
      <w:pPr>
        <w:shd w:val="clear" w:color="auto" w:fill="FFFFFF"/>
        <w:spacing w:after="200" w:line="276" w:lineRule="auto"/>
        <w:ind w:left="5" w:right="14" w:firstLine="562"/>
        <w:jc w:val="both"/>
        <w:rPr>
          <w:sz w:val="22"/>
          <w:szCs w:val="22"/>
        </w:rPr>
      </w:pPr>
      <w:r w:rsidRPr="00253B1B">
        <w:rPr>
          <w:sz w:val="22"/>
          <w:szCs w:val="22"/>
        </w:rPr>
        <w:t xml:space="preserve">Η σύνταξη των οικονομικών καταστάσεων προϋποθέτει την άσκηση κρίσης και την διενέργεια εκτιμήσεων από την διοίκηση, τα οποία επηρεάζουν την εφαρμογή των λογιστικών πολιτικών, τα αναγνωριζόμενα ποσά των εσόδων, εξόδων, περιουσιακών στοιχείων, υποχρεώσεων και γνωστοποιήσεων. Αυτές οι εκτιμήσεις και παραδοχές βασίζονται στην εμπειρία του παρελθόντος και σε λοιπούς παράγοντες που </w:t>
      </w:r>
      <w:r w:rsidRPr="00253B1B">
        <w:rPr>
          <w:sz w:val="22"/>
          <w:szCs w:val="22"/>
        </w:rPr>
        <w:lastRenderedPageBreak/>
        <w:t xml:space="preserve">θεωρείται ότι είναι εύλογα για τις περιστάσεις. Τα πραγματικά γεγονότα όμως, μπορεί να διαφέρουν από αυτές τις εκτιμήσεις. Οι εκτιμήσεις και οι σχετικές παραδοχές επανεκτιμούνται σε συνεχή βάση.  </w:t>
      </w:r>
    </w:p>
    <w:p w14:paraId="57A2908A" w14:textId="77777777" w:rsidR="00180837" w:rsidRPr="00253B1B" w:rsidRDefault="00180837" w:rsidP="00B82D0D">
      <w:pPr>
        <w:shd w:val="clear" w:color="auto" w:fill="FFFFFF"/>
        <w:spacing w:after="200" w:line="276" w:lineRule="auto"/>
        <w:ind w:left="5" w:right="14" w:firstLine="562"/>
        <w:jc w:val="both"/>
        <w:rPr>
          <w:sz w:val="22"/>
          <w:szCs w:val="22"/>
        </w:rPr>
      </w:pPr>
      <w:r w:rsidRPr="00253B1B">
        <w:rPr>
          <w:sz w:val="22"/>
          <w:szCs w:val="22"/>
        </w:rPr>
        <w:t>Οι λογιστικές εκτιμήσεις γίνονται κυρίως για τον υπολογισμό των αποσβέσεων των  παγίων, τις συμμετοχές, την απομείωση των απαιτήσεων, τις προβλέψεις και την εκτίμηση της εύλογης αξίας εφόσον επιλέγεται η εφαρμογή της.</w:t>
      </w:r>
    </w:p>
    <w:p w14:paraId="128FD474" w14:textId="77777777" w:rsidR="00FF2F42" w:rsidRPr="00253B1B" w:rsidRDefault="00FF2F42" w:rsidP="00B82D0D">
      <w:pPr>
        <w:shd w:val="clear" w:color="auto" w:fill="FFFFFF"/>
        <w:spacing w:after="200" w:line="276" w:lineRule="auto"/>
        <w:ind w:left="5" w:right="14" w:hanging="5"/>
        <w:jc w:val="both"/>
        <w:rPr>
          <w:b/>
          <w:sz w:val="22"/>
          <w:szCs w:val="22"/>
        </w:rPr>
      </w:pPr>
      <w:r w:rsidRPr="00253B1B">
        <w:rPr>
          <w:b/>
          <w:sz w:val="22"/>
          <w:szCs w:val="22"/>
        </w:rPr>
        <w:t>3.1. Ακολουθούμενες λογιστικές αρχές και μέθοδοι</w:t>
      </w:r>
    </w:p>
    <w:p w14:paraId="32D62335" w14:textId="77777777" w:rsidR="00B34338" w:rsidRPr="00253B1B" w:rsidRDefault="00E86F8A" w:rsidP="00B82D0D">
      <w:pPr>
        <w:shd w:val="clear" w:color="auto" w:fill="FFFFFF"/>
        <w:spacing w:after="200" w:line="276" w:lineRule="auto"/>
        <w:ind w:left="5" w:right="14" w:firstLine="562"/>
        <w:jc w:val="both"/>
        <w:rPr>
          <w:sz w:val="22"/>
          <w:szCs w:val="22"/>
        </w:rPr>
      </w:pPr>
      <w:r w:rsidRPr="00253B1B">
        <w:rPr>
          <w:sz w:val="22"/>
          <w:szCs w:val="22"/>
        </w:rPr>
        <w:t xml:space="preserve">﻿Η </w:t>
      </w:r>
      <w:r w:rsidR="00FF2F42" w:rsidRPr="00253B1B">
        <w:rPr>
          <w:sz w:val="22"/>
          <w:szCs w:val="22"/>
        </w:rPr>
        <w:t>εταιρεία για τα επιμέρους στοιχεία των χρηματοοικονομικών καταστάσεων εφαρμόζει τις ακόλουθε</w:t>
      </w:r>
      <w:r w:rsidR="00180837" w:rsidRPr="00253B1B">
        <w:rPr>
          <w:sz w:val="22"/>
          <w:szCs w:val="22"/>
        </w:rPr>
        <w:t xml:space="preserve">ς λογιστικές αρχές και μεθόδους, στα πλαίσια της βασικής αρχής του δουλευμένου. </w:t>
      </w:r>
    </w:p>
    <w:p w14:paraId="5C118384" w14:textId="77777777" w:rsidR="00FF2F42" w:rsidRPr="00253B1B" w:rsidRDefault="00FF2F42" w:rsidP="00B82D0D">
      <w:pPr>
        <w:shd w:val="clear" w:color="auto" w:fill="FFFFFF"/>
        <w:spacing w:after="200" w:line="276" w:lineRule="auto"/>
        <w:ind w:left="5" w:right="14" w:hanging="5"/>
        <w:jc w:val="both"/>
        <w:rPr>
          <w:b/>
          <w:sz w:val="22"/>
          <w:szCs w:val="22"/>
        </w:rPr>
      </w:pPr>
      <w:r w:rsidRPr="00253B1B">
        <w:rPr>
          <w:b/>
          <w:sz w:val="22"/>
          <w:szCs w:val="22"/>
        </w:rPr>
        <w:t xml:space="preserve">3.1.1. </w:t>
      </w:r>
      <w:r w:rsidR="003F2BDF" w:rsidRPr="00253B1B">
        <w:rPr>
          <w:b/>
          <w:sz w:val="22"/>
          <w:szCs w:val="22"/>
        </w:rPr>
        <w:t>Ενσώματα π</w:t>
      </w:r>
      <w:r w:rsidRPr="00253B1B">
        <w:rPr>
          <w:b/>
          <w:sz w:val="22"/>
          <w:szCs w:val="22"/>
        </w:rPr>
        <w:t>άγια περιουσιακά στοιχεία</w:t>
      </w:r>
    </w:p>
    <w:p w14:paraId="26EF41EF" w14:textId="77777777" w:rsidR="00F92643" w:rsidRPr="00253B1B" w:rsidRDefault="00F92643" w:rsidP="00B82D0D">
      <w:pPr>
        <w:shd w:val="clear" w:color="auto" w:fill="FFFFFF"/>
        <w:spacing w:after="200" w:line="276" w:lineRule="auto"/>
        <w:ind w:left="5" w:right="14" w:firstLine="562"/>
        <w:jc w:val="both"/>
        <w:rPr>
          <w:b/>
          <w:sz w:val="22"/>
          <w:szCs w:val="22"/>
        </w:rPr>
      </w:pPr>
      <w:r w:rsidRPr="00253B1B">
        <w:rPr>
          <w:b/>
          <w:sz w:val="22"/>
          <w:szCs w:val="22"/>
        </w:rPr>
        <w:t>α) Αρχική καταχώριση</w:t>
      </w:r>
    </w:p>
    <w:p w14:paraId="43C145A4" w14:textId="77777777" w:rsidR="00FF2F42" w:rsidRPr="00253B1B" w:rsidRDefault="00FF2F42" w:rsidP="00B82D0D">
      <w:pPr>
        <w:shd w:val="clear" w:color="auto" w:fill="FFFFFF"/>
        <w:spacing w:after="200" w:line="276" w:lineRule="auto"/>
        <w:ind w:left="5" w:right="14" w:firstLine="562"/>
        <w:jc w:val="both"/>
        <w:rPr>
          <w:sz w:val="22"/>
          <w:szCs w:val="22"/>
        </w:rPr>
      </w:pPr>
      <w:r w:rsidRPr="00253B1B">
        <w:rPr>
          <w:sz w:val="22"/>
          <w:szCs w:val="22"/>
        </w:rPr>
        <w:t xml:space="preserve">Τα </w:t>
      </w:r>
      <w:r w:rsidR="003F2BDF" w:rsidRPr="00253B1B">
        <w:rPr>
          <w:sz w:val="22"/>
          <w:szCs w:val="22"/>
        </w:rPr>
        <w:t xml:space="preserve">ενσώματα </w:t>
      </w:r>
      <w:r w:rsidRPr="00253B1B">
        <w:rPr>
          <w:sz w:val="22"/>
          <w:szCs w:val="22"/>
        </w:rPr>
        <w:t xml:space="preserve">πάγια περιουσιακά στοιχεία καταχωρίζονται αρχικά στο κόστος κτήσεως, το οποίο περιλαμβάνει κάθε δαπάνη που απαιτείται </w:t>
      </w:r>
      <w:r w:rsidR="00A1694C" w:rsidRPr="00253B1B">
        <w:rPr>
          <w:sz w:val="22"/>
          <w:szCs w:val="22"/>
        </w:rPr>
        <w:t xml:space="preserve">για να έλθει </w:t>
      </w:r>
      <w:r w:rsidRPr="00253B1B">
        <w:rPr>
          <w:sz w:val="22"/>
          <w:szCs w:val="22"/>
        </w:rPr>
        <w:t xml:space="preserve">το στοιχείο στην παρούσα κατάσταση ή θέση ή επιδιωκόμενη χρήση. </w:t>
      </w:r>
    </w:p>
    <w:p w14:paraId="689979EB" w14:textId="77777777" w:rsidR="00FF2F42" w:rsidRPr="00253B1B" w:rsidRDefault="00FF2F42" w:rsidP="00B82D0D">
      <w:pPr>
        <w:shd w:val="clear" w:color="auto" w:fill="FFFFFF"/>
        <w:spacing w:after="200" w:line="276" w:lineRule="auto"/>
        <w:ind w:left="5" w:right="14" w:firstLine="562"/>
        <w:jc w:val="both"/>
        <w:rPr>
          <w:sz w:val="22"/>
          <w:szCs w:val="22"/>
          <w:u w:val="single"/>
        </w:rPr>
      </w:pPr>
      <w:r w:rsidRPr="00253B1B">
        <w:rPr>
          <w:sz w:val="22"/>
          <w:szCs w:val="22"/>
        </w:rPr>
        <w:t>Ειδικότερα το κόστος των ιδιοπαραγόμενων πάγιων στοιχείων</w:t>
      </w:r>
      <w:r w:rsidR="001065DA" w:rsidRPr="00253B1B">
        <w:rPr>
          <w:sz w:val="22"/>
          <w:szCs w:val="22"/>
        </w:rPr>
        <w:t xml:space="preserve">, </w:t>
      </w:r>
      <w:r w:rsidRPr="00253B1B">
        <w:rPr>
          <w:sz w:val="22"/>
          <w:szCs w:val="22"/>
        </w:rPr>
        <w:t xml:space="preserve"> περιλαμβάνει το κόστος πρώτων υλών, αναλώσιμων υλικών, εργασίας και άλλο κόστος που σχετίζεται άμεσα με το εν λόγω πάγιο στοιχείο. Επιπλέον περιλαμβάνει μια εύλογη αναλογία σταθερών και μεταβλητών εξόδων που σχετίζονται έμμεσα με το </w:t>
      </w:r>
      <w:r w:rsidR="00503C91" w:rsidRPr="00253B1B">
        <w:rPr>
          <w:sz w:val="22"/>
          <w:szCs w:val="22"/>
        </w:rPr>
        <w:t>ιδιοπαραγόμενο</w:t>
      </w:r>
      <w:r w:rsidRPr="00253B1B">
        <w:rPr>
          <w:sz w:val="22"/>
          <w:szCs w:val="22"/>
        </w:rPr>
        <w:t xml:space="preserve"> πάγιο στοιχείο, στο βαθμό που τα ποσά αυτά αναφέρονται στην περίοδο κατασκευής</w:t>
      </w:r>
      <w:r w:rsidR="00F92643" w:rsidRPr="00253B1B">
        <w:rPr>
          <w:sz w:val="22"/>
          <w:szCs w:val="22"/>
        </w:rPr>
        <w:t xml:space="preserve"> ή παραγωγής</w:t>
      </w:r>
      <w:r w:rsidRPr="00253B1B">
        <w:rPr>
          <w:sz w:val="22"/>
          <w:szCs w:val="22"/>
        </w:rPr>
        <w:t xml:space="preserve">. Η εταιρεία </w:t>
      </w:r>
      <w:r w:rsidR="00C569B8" w:rsidRPr="00253B1B">
        <w:rPr>
          <w:sz w:val="22"/>
          <w:szCs w:val="22"/>
        </w:rPr>
        <w:t>δεν επιβαρύνει</w:t>
      </w:r>
      <w:r w:rsidRPr="00253B1B">
        <w:rPr>
          <w:sz w:val="22"/>
          <w:szCs w:val="22"/>
        </w:rPr>
        <w:t xml:space="preserve"> το κόστος των ιδιοπαραγόμενων πάγιων στοιχείων μακράς περιόδου κατασκευής ή παραγωγής με τόκους εντόκων υποχρεώσεων κατά το μέρος που αναλογούν σε αυτό.</w:t>
      </w:r>
    </w:p>
    <w:p w14:paraId="62E7284D" w14:textId="77777777" w:rsidR="00F92643" w:rsidRPr="00253B1B" w:rsidRDefault="00F92643" w:rsidP="00B82D0D">
      <w:pPr>
        <w:shd w:val="clear" w:color="auto" w:fill="FFFFFF"/>
        <w:spacing w:after="200" w:line="276" w:lineRule="auto"/>
        <w:ind w:left="5" w:right="14" w:firstLine="562"/>
        <w:jc w:val="both"/>
        <w:rPr>
          <w:b/>
          <w:sz w:val="22"/>
          <w:szCs w:val="22"/>
        </w:rPr>
      </w:pPr>
      <w:r w:rsidRPr="00253B1B">
        <w:rPr>
          <w:b/>
          <w:sz w:val="22"/>
          <w:szCs w:val="22"/>
        </w:rPr>
        <w:t>β) Μεταγενέστερη αποτίμηση</w:t>
      </w:r>
    </w:p>
    <w:p w14:paraId="5901FC72" w14:textId="77777777" w:rsidR="00FF2F42" w:rsidRPr="00253B1B" w:rsidRDefault="00FF2F42" w:rsidP="00B82D0D">
      <w:pPr>
        <w:shd w:val="clear" w:color="auto" w:fill="FFFFFF"/>
        <w:spacing w:after="200" w:line="276" w:lineRule="auto"/>
        <w:ind w:left="5" w:right="14" w:firstLine="562"/>
        <w:jc w:val="both"/>
        <w:rPr>
          <w:sz w:val="22"/>
          <w:szCs w:val="22"/>
        </w:rPr>
      </w:pPr>
      <w:r w:rsidRPr="00253B1B">
        <w:rPr>
          <w:sz w:val="22"/>
          <w:szCs w:val="22"/>
        </w:rPr>
        <w:t>Μεταγενέστερα της αρχικής καταχωρίσεως πάγια περιουσιακά στοιχεία αποτιμούνται στο αποσβέσιμο κόστος (αρχικό κόστος κτήσεως, πλέον κάθε μεταγενέστερη δαπάνη που πληροί τον ορισμό του περιουσιακού στοιχείου, μείον σωρευμένες αποσβέσεις και ζημίες απομειώσεως).</w:t>
      </w:r>
    </w:p>
    <w:p w14:paraId="3C3E7F86" w14:textId="77777777" w:rsidR="00C74D88" w:rsidRPr="00253B1B" w:rsidRDefault="00C74D88" w:rsidP="00B82D0D">
      <w:pPr>
        <w:shd w:val="clear" w:color="auto" w:fill="FFFFFF"/>
        <w:spacing w:after="200" w:line="276" w:lineRule="auto"/>
        <w:ind w:left="5" w:right="14" w:firstLine="562"/>
        <w:jc w:val="both"/>
        <w:rPr>
          <w:sz w:val="22"/>
          <w:szCs w:val="22"/>
        </w:rPr>
      </w:pPr>
      <w:r w:rsidRPr="00253B1B">
        <w:rPr>
          <w:sz w:val="22"/>
          <w:szCs w:val="22"/>
        </w:rPr>
        <w:t>Οι αποσβέσεις των ενσωμάτων παγίων υπολογίζονται με την σταθερή μέθοδο μέσα στην ωφέλιμη ζωή τους, η οποία εκτιμήθηκε ως ακολούθως:</w:t>
      </w:r>
    </w:p>
    <w:p w14:paraId="44AF16EA" w14:textId="77777777" w:rsidR="00FF2F42" w:rsidRPr="00253B1B" w:rsidRDefault="00FF2F42" w:rsidP="00B82D0D">
      <w:pPr>
        <w:numPr>
          <w:ilvl w:val="0"/>
          <w:numId w:val="6"/>
        </w:numPr>
        <w:shd w:val="clear" w:color="auto" w:fill="FFFFFF"/>
        <w:spacing w:after="200" w:line="276" w:lineRule="auto"/>
        <w:ind w:left="993" w:right="14" w:hanging="426"/>
        <w:jc w:val="both"/>
        <w:rPr>
          <w:sz w:val="22"/>
          <w:szCs w:val="22"/>
        </w:rPr>
      </w:pPr>
      <w:r w:rsidRPr="00253B1B">
        <w:rPr>
          <w:sz w:val="22"/>
          <w:szCs w:val="22"/>
        </w:rPr>
        <w:t xml:space="preserve">Κτίρια και τεχνικά έργα: </w:t>
      </w:r>
      <w:r w:rsidR="003D79B0" w:rsidRPr="00253B1B">
        <w:rPr>
          <w:sz w:val="22"/>
          <w:szCs w:val="22"/>
        </w:rPr>
        <w:t>3 - 25</w:t>
      </w:r>
      <w:r w:rsidRPr="00253B1B">
        <w:rPr>
          <w:sz w:val="22"/>
          <w:szCs w:val="22"/>
        </w:rPr>
        <w:t xml:space="preserve"> έτη.</w:t>
      </w:r>
    </w:p>
    <w:p w14:paraId="0C0EE3AE" w14:textId="77777777" w:rsidR="00FF2F42" w:rsidRPr="00253B1B" w:rsidRDefault="00FF2F42" w:rsidP="00B82D0D">
      <w:pPr>
        <w:numPr>
          <w:ilvl w:val="0"/>
          <w:numId w:val="6"/>
        </w:numPr>
        <w:shd w:val="clear" w:color="auto" w:fill="FFFFFF"/>
        <w:spacing w:after="200" w:line="276" w:lineRule="auto"/>
        <w:ind w:left="993" w:right="14" w:hanging="426"/>
        <w:jc w:val="both"/>
        <w:rPr>
          <w:sz w:val="22"/>
          <w:szCs w:val="22"/>
        </w:rPr>
      </w:pPr>
      <w:r w:rsidRPr="00253B1B">
        <w:rPr>
          <w:sz w:val="22"/>
          <w:szCs w:val="22"/>
        </w:rPr>
        <w:t xml:space="preserve">Μηχανήματα - Τεχνικές εγκαταστάσεις και λοιπός μηχανολογικός εξοπλισμός </w:t>
      </w:r>
      <w:r w:rsidR="003D79B0" w:rsidRPr="00253B1B">
        <w:rPr>
          <w:sz w:val="22"/>
          <w:szCs w:val="22"/>
        </w:rPr>
        <w:t>3 - 10</w:t>
      </w:r>
      <w:r w:rsidRPr="00253B1B">
        <w:rPr>
          <w:sz w:val="22"/>
          <w:szCs w:val="22"/>
        </w:rPr>
        <w:t xml:space="preserve"> έτη.</w:t>
      </w:r>
    </w:p>
    <w:p w14:paraId="3241476E" w14:textId="77777777" w:rsidR="00FF2F42" w:rsidRPr="00253B1B" w:rsidRDefault="00FF2F42" w:rsidP="00B82D0D">
      <w:pPr>
        <w:numPr>
          <w:ilvl w:val="0"/>
          <w:numId w:val="6"/>
        </w:numPr>
        <w:shd w:val="clear" w:color="auto" w:fill="FFFFFF"/>
        <w:spacing w:after="200" w:line="276" w:lineRule="auto"/>
        <w:ind w:left="993" w:right="14" w:hanging="426"/>
        <w:jc w:val="both"/>
        <w:rPr>
          <w:sz w:val="22"/>
          <w:szCs w:val="22"/>
        </w:rPr>
      </w:pPr>
      <w:r w:rsidRPr="00253B1B">
        <w:rPr>
          <w:sz w:val="22"/>
          <w:szCs w:val="22"/>
        </w:rPr>
        <w:t xml:space="preserve">Μεταφορικά μέσα επιβατικά </w:t>
      </w:r>
      <w:r w:rsidR="00A82FAC" w:rsidRPr="00253B1B">
        <w:rPr>
          <w:sz w:val="22"/>
          <w:szCs w:val="22"/>
          <w:lang w:val="en-US"/>
        </w:rPr>
        <w:t>5 - 9</w:t>
      </w:r>
      <w:r w:rsidRPr="00253B1B">
        <w:rPr>
          <w:sz w:val="22"/>
          <w:szCs w:val="22"/>
        </w:rPr>
        <w:t xml:space="preserve"> έτη.</w:t>
      </w:r>
    </w:p>
    <w:p w14:paraId="0D5E09CD" w14:textId="77777777" w:rsidR="00FF2F42" w:rsidRPr="00253B1B" w:rsidRDefault="00FF2F42" w:rsidP="00B82D0D">
      <w:pPr>
        <w:numPr>
          <w:ilvl w:val="0"/>
          <w:numId w:val="6"/>
        </w:numPr>
        <w:shd w:val="clear" w:color="auto" w:fill="FFFFFF"/>
        <w:spacing w:after="200" w:line="276" w:lineRule="auto"/>
        <w:ind w:left="993" w:right="14" w:hanging="426"/>
        <w:jc w:val="both"/>
        <w:rPr>
          <w:sz w:val="22"/>
          <w:szCs w:val="22"/>
        </w:rPr>
      </w:pPr>
      <w:r w:rsidRPr="00253B1B">
        <w:rPr>
          <w:sz w:val="22"/>
          <w:szCs w:val="22"/>
        </w:rPr>
        <w:t xml:space="preserve">Μεταφορικά μέσα φορτηγά κ.λπ. </w:t>
      </w:r>
      <w:r w:rsidR="00A82FAC" w:rsidRPr="00253B1B">
        <w:rPr>
          <w:sz w:val="22"/>
          <w:szCs w:val="22"/>
        </w:rPr>
        <w:t>4 - 9</w:t>
      </w:r>
      <w:r w:rsidRPr="00253B1B">
        <w:rPr>
          <w:sz w:val="22"/>
          <w:szCs w:val="22"/>
        </w:rPr>
        <w:t xml:space="preserve"> έτη.</w:t>
      </w:r>
    </w:p>
    <w:p w14:paraId="6BAAB1D8" w14:textId="77777777" w:rsidR="00FF2F42" w:rsidRPr="00253B1B" w:rsidRDefault="00FF2F42" w:rsidP="00B82D0D">
      <w:pPr>
        <w:numPr>
          <w:ilvl w:val="0"/>
          <w:numId w:val="6"/>
        </w:numPr>
        <w:shd w:val="clear" w:color="auto" w:fill="FFFFFF"/>
        <w:spacing w:after="200" w:line="276" w:lineRule="auto"/>
        <w:ind w:left="993" w:right="14" w:hanging="426"/>
        <w:jc w:val="both"/>
        <w:rPr>
          <w:sz w:val="22"/>
          <w:szCs w:val="22"/>
        </w:rPr>
      </w:pPr>
      <w:r w:rsidRPr="00253B1B">
        <w:rPr>
          <w:sz w:val="22"/>
          <w:szCs w:val="22"/>
        </w:rPr>
        <w:t xml:space="preserve">Έπιπλα και εξοπλισμός γραφείων </w:t>
      </w:r>
      <w:r w:rsidR="00A82FAC" w:rsidRPr="00253B1B">
        <w:rPr>
          <w:sz w:val="22"/>
          <w:szCs w:val="22"/>
        </w:rPr>
        <w:t>4 - 10</w:t>
      </w:r>
      <w:r w:rsidRPr="00253B1B">
        <w:rPr>
          <w:sz w:val="22"/>
          <w:szCs w:val="22"/>
        </w:rPr>
        <w:t xml:space="preserve"> έτη.</w:t>
      </w:r>
    </w:p>
    <w:p w14:paraId="0E75AA67" w14:textId="77777777" w:rsidR="00FF2F42" w:rsidRPr="00253B1B" w:rsidRDefault="00FF2F42" w:rsidP="00B82D0D">
      <w:pPr>
        <w:shd w:val="clear" w:color="auto" w:fill="FFFFFF"/>
        <w:spacing w:after="200" w:line="276" w:lineRule="auto"/>
        <w:ind w:left="5" w:right="14" w:firstLine="562"/>
        <w:jc w:val="both"/>
        <w:rPr>
          <w:sz w:val="22"/>
          <w:szCs w:val="22"/>
        </w:rPr>
      </w:pPr>
      <w:r w:rsidRPr="00253B1B">
        <w:rPr>
          <w:sz w:val="22"/>
          <w:szCs w:val="22"/>
        </w:rPr>
        <w:t>Ζημία απομειώσεως καταχωρίζεται όταν εκτιμάται ότι η λογιστική αξία του στοιχείου έχει υπερβεί την ανακτήσιμη αξία του.</w:t>
      </w:r>
    </w:p>
    <w:p w14:paraId="5316D981" w14:textId="77777777" w:rsidR="00F92643" w:rsidRPr="00253B1B" w:rsidRDefault="00F92643" w:rsidP="00B82D0D">
      <w:pPr>
        <w:shd w:val="clear" w:color="auto" w:fill="FFFFFF"/>
        <w:spacing w:after="200" w:line="276" w:lineRule="auto"/>
        <w:ind w:left="5" w:right="14" w:firstLine="562"/>
        <w:jc w:val="both"/>
        <w:rPr>
          <w:sz w:val="22"/>
          <w:szCs w:val="22"/>
        </w:rPr>
      </w:pPr>
      <w:r w:rsidRPr="00253B1B">
        <w:rPr>
          <w:sz w:val="22"/>
          <w:szCs w:val="22"/>
        </w:rPr>
        <w:t>Οι λογιστικές αξίες των πάγιων περιουσιακών στοιχείων της Εταιρείας ελέγχονται για απομείωση όταν υπάρχουν ενδείξεις ότι οι λογιστικές αξίες τους είναι μεγαλύτερες από τις ανακτήσιμες. Στην περίπτωση αυτή υπολογίζεται η ανακτήσιμη αξί</w:t>
      </w:r>
      <w:r w:rsidR="0030458D" w:rsidRPr="00253B1B">
        <w:rPr>
          <w:sz w:val="22"/>
          <w:szCs w:val="22"/>
        </w:rPr>
        <w:t>α</w:t>
      </w:r>
      <w:r w:rsidRPr="00253B1B">
        <w:rPr>
          <w:sz w:val="22"/>
          <w:szCs w:val="22"/>
        </w:rPr>
        <w:t xml:space="preserve"> των </w:t>
      </w:r>
      <w:r w:rsidR="0030458D" w:rsidRPr="00253B1B">
        <w:rPr>
          <w:sz w:val="22"/>
          <w:szCs w:val="22"/>
        </w:rPr>
        <w:t xml:space="preserve">πάγιων </w:t>
      </w:r>
      <w:r w:rsidRPr="00253B1B">
        <w:rPr>
          <w:sz w:val="22"/>
          <w:szCs w:val="22"/>
        </w:rPr>
        <w:t>περιουσιακών στοιχείων και αν οι λογιστικές αξίες υπερβαίνουν τ</w:t>
      </w:r>
      <w:r w:rsidR="0030458D" w:rsidRPr="00253B1B">
        <w:rPr>
          <w:sz w:val="22"/>
          <w:szCs w:val="22"/>
        </w:rPr>
        <w:t>ην</w:t>
      </w:r>
      <w:r w:rsidRPr="00253B1B">
        <w:rPr>
          <w:sz w:val="22"/>
          <w:szCs w:val="22"/>
        </w:rPr>
        <w:t xml:space="preserve"> εκτιμώμεν</w:t>
      </w:r>
      <w:r w:rsidR="0030458D" w:rsidRPr="00253B1B">
        <w:rPr>
          <w:sz w:val="22"/>
          <w:szCs w:val="22"/>
        </w:rPr>
        <w:t>η</w:t>
      </w:r>
      <w:r w:rsidRPr="00253B1B">
        <w:rPr>
          <w:sz w:val="22"/>
          <w:szCs w:val="22"/>
        </w:rPr>
        <w:t xml:space="preserve"> ανακτήσιμ</w:t>
      </w:r>
      <w:r w:rsidR="0030458D" w:rsidRPr="00253B1B">
        <w:rPr>
          <w:sz w:val="22"/>
          <w:szCs w:val="22"/>
        </w:rPr>
        <w:t>η αξία</w:t>
      </w:r>
      <w:r w:rsidRPr="00253B1B">
        <w:rPr>
          <w:sz w:val="22"/>
          <w:szCs w:val="22"/>
        </w:rPr>
        <w:t xml:space="preserve">, </w:t>
      </w:r>
      <w:r w:rsidR="0030458D" w:rsidRPr="00253B1B">
        <w:rPr>
          <w:sz w:val="22"/>
          <w:szCs w:val="22"/>
        </w:rPr>
        <w:t>η σχετική διαφορά καταχ</w:t>
      </w:r>
      <w:r w:rsidRPr="00253B1B">
        <w:rPr>
          <w:sz w:val="22"/>
          <w:szCs w:val="22"/>
        </w:rPr>
        <w:t xml:space="preserve">ωρίζεται </w:t>
      </w:r>
      <w:r w:rsidR="0030458D" w:rsidRPr="00253B1B">
        <w:rPr>
          <w:sz w:val="22"/>
          <w:szCs w:val="22"/>
        </w:rPr>
        <w:t xml:space="preserve">ως </w:t>
      </w:r>
      <w:r w:rsidRPr="00253B1B">
        <w:rPr>
          <w:sz w:val="22"/>
          <w:szCs w:val="22"/>
        </w:rPr>
        <w:t xml:space="preserve">ζημία απομείωσης στην κατάσταση </w:t>
      </w:r>
      <w:r w:rsidRPr="00253B1B">
        <w:rPr>
          <w:sz w:val="22"/>
          <w:szCs w:val="22"/>
        </w:rPr>
        <w:lastRenderedPageBreak/>
        <w:t>αποτελεσμάτων. Το ανακτήσιμο ποσό των περιουσιακών στοιχείων είναι το μεγαλύτερο μεταξύ της εύλογης αξίας (μείον τα απαιτούμενα για την πώληση έξοδα) και της αξίας χρήσ</w:t>
      </w:r>
      <w:r w:rsidR="007135DF" w:rsidRPr="00253B1B">
        <w:rPr>
          <w:sz w:val="22"/>
          <w:szCs w:val="22"/>
        </w:rPr>
        <w:t>εω</w:t>
      </w:r>
      <w:r w:rsidRPr="00253B1B">
        <w:rPr>
          <w:sz w:val="22"/>
          <w:szCs w:val="22"/>
        </w:rPr>
        <w:t xml:space="preserve">ς αυτών. </w:t>
      </w:r>
    </w:p>
    <w:p w14:paraId="2EA30A86" w14:textId="77777777" w:rsidR="00942BB3" w:rsidRPr="00253B1B" w:rsidRDefault="00942BB3" w:rsidP="00B82D0D">
      <w:pPr>
        <w:shd w:val="clear" w:color="auto" w:fill="FFFFFF"/>
        <w:spacing w:after="200" w:line="276" w:lineRule="auto"/>
        <w:ind w:left="5" w:right="14" w:firstLine="562"/>
        <w:jc w:val="both"/>
        <w:rPr>
          <w:b/>
          <w:sz w:val="22"/>
          <w:szCs w:val="22"/>
        </w:rPr>
      </w:pPr>
      <w:r w:rsidRPr="00253B1B">
        <w:rPr>
          <w:b/>
          <w:sz w:val="22"/>
          <w:szCs w:val="22"/>
        </w:rPr>
        <w:t>γ) Διαγραφή</w:t>
      </w:r>
    </w:p>
    <w:p w14:paraId="3FD7764B" w14:textId="77777777" w:rsidR="00C74D88" w:rsidRPr="00253B1B" w:rsidRDefault="00C74D88" w:rsidP="00B82D0D">
      <w:pPr>
        <w:shd w:val="clear" w:color="auto" w:fill="FFFFFF"/>
        <w:spacing w:after="200" w:line="276" w:lineRule="auto"/>
        <w:ind w:left="5" w:right="14" w:firstLine="562"/>
        <w:jc w:val="both"/>
        <w:rPr>
          <w:sz w:val="22"/>
          <w:szCs w:val="22"/>
        </w:rPr>
      </w:pPr>
      <w:r w:rsidRPr="00253B1B">
        <w:rPr>
          <w:sz w:val="22"/>
          <w:szCs w:val="22"/>
        </w:rPr>
        <w:t xml:space="preserve">Τα ενσώματα πάγια </w:t>
      </w:r>
      <w:r w:rsidR="00942BB3" w:rsidRPr="00253B1B">
        <w:rPr>
          <w:sz w:val="22"/>
          <w:szCs w:val="22"/>
        </w:rPr>
        <w:t xml:space="preserve">στοιχεία </w:t>
      </w:r>
      <w:r w:rsidRPr="00253B1B">
        <w:rPr>
          <w:sz w:val="22"/>
          <w:szCs w:val="22"/>
        </w:rPr>
        <w:t xml:space="preserve">διαγράφονται κατά την πώλησή τους ή αν η Εταιρεία δεν αναμένει μελλοντικά οικονομικά οφέλη από τη χρησιμοποίησή τους ή την πώλησή τους. </w:t>
      </w:r>
    </w:p>
    <w:p w14:paraId="47E1FD41" w14:textId="77777777" w:rsidR="00503C91" w:rsidRPr="00253B1B" w:rsidRDefault="003F2BDF" w:rsidP="00B82D0D">
      <w:pPr>
        <w:shd w:val="clear" w:color="auto" w:fill="FFFFFF"/>
        <w:spacing w:after="200" w:line="276" w:lineRule="auto"/>
        <w:ind w:left="5" w:right="14" w:hanging="5"/>
        <w:jc w:val="both"/>
        <w:rPr>
          <w:b/>
          <w:sz w:val="22"/>
          <w:szCs w:val="22"/>
        </w:rPr>
      </w:pPr>
      <w:r w:rsidRPr="00253B1B">
        <w:rPr>
          <w:b/>
          <w:sz w:val="22"/>
          <w:szCs w:val="22"/>
        </w:rPr>
        <w:t xml:space="preserve">3.1.2. </w:t>
      </w:r>
      <w:r w:rsidR="00503C91" w:rsidRPr="00253B1B">
        <w:rPr>
          <w:b/>
          <w:sz w:val="22"/>
          <w:szCs w:val="22"/>
        </w:rPr>
        <w:t xml:space="preserve">Άυλα πάγια περιουσιακά στοιχεία </w:t>
      </w:r>
    </w:p>
    <w:p w14:paraId="43BD7091" w14:textId="77777777" w:rsidR="007762B5" w:rsidRPr="00253B1B" w:rsidRDefault="007762B5" w:rsidP="007762B5">
      <w:pPr>
        <w:shd w:val="clear" w:color="auto" w:fill="FFFFFF"/>
        <w:spacing w:after="200" w:line="276" w:lineRule="auto"/>
        <w:ind w:left="5" w:right="14" w:firstLine="562"/>
        <w:jc w:val="both"/>
        <w:rPr>
          <w:sz w:val="22"/>
          <w:szCs w:val="22"/>
        </w:rPr>
      </w:pPr>
      <w:r w:rsidRPr="00253B1B">
        <w:rPr>
          <w:sz w:val="22"/>
          <w:szCs w:val="22"/>
        </w:rPr>
        <w:t xml:space="preserve">Τα άυλα πάγια περιουσιακά στοιχεία περιλαμβάνουν άδειες – παραχωρήσεις - δικαιώματα, λογισμικά προγράμματα, εμπορικές επωνυμίες και εμπορικά σήματα. </w:t>
      </w:r>
    </w:p>
    <w:p w14:paraId="55944F3B" w14:textId="77777777" w:rsidR="007762B5" w:rsidRPr="00253B1B" w:rsidRDefault="007762B5" w:rsidP="007762B5">
      <w:pPr>
        <w:shd w:val="clear" w:color="auto" w:fill="FFFFFF"/>
        <w:spacing w:after="200" w:line="276" w:lineRule="auto"/>
        <w:ind w:left="5" w:right="14" w:firstLine="562"/>
        <w:jc w:val="both"/>
        <w:rPr>
          <w:sz w:val="22"/>
          <w:szCs w:val="22"/>
        </w:rPr>
      </w:pPr>
      <w:r w:rsidRPr="00253B1B">
        <w:rPr>
          <w:sz w:val="22"/>
          <w:szCs w:val="22"/>
        </w:rPr>
        <w:t>Η αξία των αδειών – παραχωρήσεων - δικαιωμάτων περιλαμβάνει το κόστος κτήσεως των εν λόγω στοιχείων, καθώς και κάθε δαπάνη που έχει μεταγενέστερα πραγματοποιηθεί για την επέκταση της διάρκειας της ισχύος τους, μειωμένη κατά το ποσό των σωρευμένων αποσβέσεων και απομειώσεων της αξίας τους.</w:t>
      </w:r>
    </w:p>
    <w:p w14:paraId="35B05B22" w14:textId="77777777" w:rsidR="007762B5" w:rsidRPr="00253B1B" w:rsidRDefault="007762B5" w:rsidP="007762B5">
      <w:pPr>
        <w:shd w:val="clear" w:color="auto" w:fill="FFFFFF"/>
        <w:spacing w:after="200" w:line="276" w:lineRule="auto"/>
        <w:ind w:left="5" w:right="14" w:firstLine="562"/>
        <w:jc w:val="both"/>
        <w:rPr>
          <w:sz w:val="22"/>
          <w:szCs w:val="22"/>
        </w:rPr>
      </w:pPr>
      <w:r w:rsidRPr="00253B1B">
        <w:rPr>
          <w:sz w:val="22"/>
          <w:szCs w:val="22"/>
        </w:rPr>
        <w:t xml:space="preserve">Η αξία των λογισμικών προγραμμάτων περιλαμβάνει το κόστος αγοράς λογισμικών προγραμμάτων καθώς και κάθε δαπάνη που έχει πραγματοποιηθεί προκειμένου αυτά να τεθούν σε καθεστώς λειτουργίας, μειωμένη κατά το ποσό των σωρευμένων αποσβέσεων και τυχόν απομειώσεων της αξίας τους. Σημαντικές μεταγενέστερες δαπάνες κεφαλαιοποιούνται στα λογισμικά προγράμματα όταν προσαυξάνουν την απόδοση τους πέραν των αρχικών προδιαγραφών. </w:t>
      </w:r>
    </w:p>
    <w:p w14:paraId="49A4F2E1" w14:textId="77777777" w:rsidR="007762B5" w:rsidRPr="00253B1B" w:rsidRDefault="007762B5" w:rsidP="007762B5">
      <w:pPr>
        <w:shd w:val="clear" w:color="auto" w:fill="FFFFFF"/>
        <w:spacing w:after="200" w:line="276" w:lineRule="auto"/>
        <w:ind w:left="5" w:right="14" w:firstLine="562"/>
        <w:jc w:val="both"/>
        <w:rPr>
          <w:sz w:val="22"/>
          <w:szCs w:val="22"/>
        </w:rPr>
      </w:pPr>
      <w:r w:rsidRPr="00253B1B">
        <w:rPr>
          <w:sz w:val="22"/>
          <w:szCs w:val="22"/>
        </w:rPr>
        <w:t xml:space="preserve">Η απόσβεση των αδειών – παραχωρήσεων – δικαιωμάτων - σημάτων λογίζεται βάσει της σταθερής μεθόδου αποσβέσεως εντός της περιόδου ισχύος τους. Η απόσβεση των λογισμικών προγραμμάτων λογίζεται βάσει της σταθερής μεθόδου αποσβέσεως σε 3 – 6 έτη. </w:t>
      </w:r>
    </w:p>
    <w:p w14:paraId="58067F2C" w14:textId="77777777" w:rsidR="007762B5" w:rsidRPr="00253B1B" w:rsidRDefault="007762B5" w:rsidP="007762B5">
      <w:pPr>
        <w:shd w:val="clear" w:color="auto" w:fill="FFFFFF"/>
        <w:spacing w:after="200" w:line="276" w:lineRule="auto"/>
        <w:ind w:left="5" w:right="14" w:firstLine="562"/>
        <w:jc w:val="both"/>
        <w:rPr>
          <w:sz w:val="22"/>
          <w:szCs w:val="22"/>
        </w:rPr>
      </w:pPr>
      <w:r w:rsidRPr="00253B1B">
        <w:rPr>
          <w:sz w:val="22"/>
          <w:szCs w:val="22"/>
        </w:rPr>
        <w:t>Η απόσβεση όλων των ανωτέρω στοιχείων περιλαμβάνεται στην κατάσταση αποτελεσμάτων.</w:t>
      </w:r>
    </w:p>
    <w:p w14:paraId="0C49A83C" w14:textId="77777777" w:rsidR="00FF2F42" w:rsidRPr="00253B1B" w:rsidRDefault="00476D3C" w:rsidP="00B82D0D">
      <w:pPr>
        <w:shd w:val="clear" w:color="auto" w:fill="FFFFFF"/>
        <w:spacing w:after="200" w:line="276" w:lineRule="auto"/>
        <w:ind w:left="5" w:right="14" w:hanging="5"/>
        <w:jc w:val="both"/>
        <w:rPr>
          <w:b/>
          <w:sz w:val="22"/>
          <w:szCs w:val="22"/>
        </w:rPr>
      </w:pPr>
      <w:r w:rsidRPr="00253B1B">
        <w:rPr>
          <w:b/>
          <w:sz w:val="22"/>
          <w:szCs w:val="22"/>
        </w:rPr>
        <w:t>3.1.</w:t>
      </w:r>
      <w:r w:rsidR="00377285" w:rsidRPr="00253B1B">
        <w:rPr>
          <w:b/>
          <w:sz w:val="22"/>
          <w:szCs w:val="22"/>
        </w:rPr>
        <w:t>3</w:t>
      </w:r>
      <w:r w:rsidR="00FF2F42" w:rsidRPr="00253B1B">
        <w:rPr>
          <w:b/>
          <w:sz w:val="22"/>
          <w:szCs w:val="22"/>
        </w:rPr>
        <w:t>. Χρηματοοικονομικά περιουσιακά στοιχεία</w:t>
      </w:r>
    </w:p>
    <w:p w14:paraId="00C7B2D5" w14:textId="77777777" w:rsidR="007135DF" w:rsidRPr="00253B1B" w:rsidRDefault="007135DF" w:rsidP="00B82D0D">
      <w:pPr>
        <w:shd w:val="clear" w:color="auto" w:fill="FFFFFF"/>
        <w:spacing w:after="200" w:line="276" w:lineRule="auto"/>
        <w:ind w:left="5" w:right="14" w:hanging="5"/>
        <w:jc w:val="both"/>
        <w:rPr>
          <w:b/>
          <w:sz w:val="22"/>
          <w:szCs w:val="22"/>
        </w:rPr>
      </w:pPr>
      <w:r w:rsidRPr="00253B1B">
        <w:rPr>
          <w:b/>
          <w:sz w:val="22"/>
          <w:szCs w:val="22"/>
        </w:rPr>
        <w:t>3.1.3.1. Συμμετοχές</w:t>
      </w:r>
    </w:p>
    <w:p w14:paraId="08244F3A" w14:textId="77777777" w:rsidR="007762B5" w:rsidRPr="00253B1B" w:rsidRDefault="007762B5" w:rsidP="007762B5">
      <w:pPr>
        <w:shd w:val="clear" w:color="auto" w:fill="FFFFFF"/>
        <w:spacing w:after="200" w:line="276" w:lineRule="auto"/>
        <w:ind w:left="5" w:right="14" w:firstLine="562"/>
        <w:jc w:val="both"/>
        <w:rPr>
          <w:sz w:val="22"/>
          <w:szCs w:val="22"/>
        </w:rPr>
      </w:pPr>
      <w:r w:rsidRPr="00253B1B">
        <w:rPr>
          <w:sz w:val="22"/>
          <w:szCs w:val="22"/>
        </w:rPr>
        <w:t>Οι συμμετοχές παρακολουθούνται στο κόστος κτήσεως υποκείμενες σε έλεγχο απομειώσεως της αξίας τους όταν υπάρχουν ενδείξεις ή γεγονότα που υποδεικνύουν ότι η λογιστική αξία τους ενδέχεται να μην είναι ανακτήσιμη. Ζημίες απομειώσεως καταχωρίζονται όταν η λογιστική αξία των συμμετοχών υπερβαίνει την ανακτήσιμη αξία τους. Ως ανακτήσιμη αξία θεωρείται η αξία χρήσεως που είναι η παρούσα αξία των αναμενόμενων μελλοντικών χρηματοροών από την συμμετοχή, στην επόμενη πενταετία και της υπολειμματικής της αξίας στο τέλος της πενταετίας.</w:t>
      </w:r>
    </w:p>
    <w:p w14:paraId="7400203C" w14:textId="77777777" w:rsidR="007135DF" w:rsidRPr="00253B1B" w:rsidRDefault="007135DF" w:rsidP="00B82D0D">
      <w:pPr>
        <w:shd w:val="clear" w:color="auto" w:fill="FFFFFF"/>
        <w:spacing w:after="200" w:line="276" w:lineRule="auto"/>
        <w:ind w:left="5" w:right="14" w:hanging="5"/>
        <w:jc w:val="both"/>
        <w:rPr>
          <w:b/>
          <w:sz w:val="22"/>
          <w:szCs w:val="22"/>
        </w:rPr>
      </w:pPr>
      <w:r w:rsidRPr="00253B1B">
        <w:rPr>
          <w:b/>
          <w:sz w:val="22"/>
          <w:szCs w:val="22"/>
        </w:rPr>
        <w:t>3.1.3.2. Λοιπά χρηματοοικονομικά περιουσιακά στοιχεία</w:t>
      </w:r>
    </w:p>
    <w:p w14:paraId="43E1A408" w14:textId="77777777" w:rsidR="007762B5" w:rsidRPr="00253B1B" w:rsidRDefault="007762B5" w:rsidP="007762B5">
      <w:pPr>
        <w:shd w:val="clear" w:color="auto" w:fill="FFFFFF"/>
        <w:spacing w:after="200" w:line="276" w:lineRule="auto"/>
        <w:ind w:left="5" w:right="14" w:firstLine="562"/>
        <w:jc w:val="both"/>
        <w:rPr>
          <w:b/>
          <w:sz w:val="22"/>
          <w:szCs w:val="22"/>
        </w:rPr>
      </w:pPr>
      <w:r w:rsidRPr="00253B1B">
        <w:rPr>
          <w:b/>
          <w:sz w:val="22"/>
          <w:szCs w:val="22"/>
        </w:rPr>
        <w:t>α) Αρχική καταχώριση</w:t>
      </w:r>
    </w:p>
    <w:p w14:paraId="425E9D4C" w14:textId="77777777" w:rsidR="007762B5" w:rsidRPr="00253B1B" w:rsidRDefault="007762B5" w:rsidP="007762B5">
      <w:pPr>
        <w:shd w:val="clear" w:color="auto" w:fill="FFFFFF"/>
        <w:spacing w:after="200" w:line="276" w:lineRule="auto"/>
        <w:ind w:left="5" w:right="14" w:firstLine="562"/>
        <w:jc w:val="both"/>
        <w:rPr>
          <w:sz w:val="22"/>
          <w:szCs w:val="22"/>
        </w:rPr>
      </w:pPr>
      <w:r w:rsidRPr="00253B1B">
        <w:rPr>
          <w:sz w:val="22"/>
          <w:szCs w:val="22"/>
        </w:rPr>
        <w:t>Όλα τα χρηματοοικονομικά περιουσιακά στοιχεία καταχωρίζονται αρχικά στο κόστος κτήσεως, δηλαδή στο κόστος που απαιτήθηκε για την απόκτηση τους. Το κόστος κτήσεως περιλαμβάνει το σύνολο των ταμειακών διαθεσίμων (ή ταμειακών ισοδύναμων) ή την εύλογη αξία άλλου ανταλλάγματος που διατέθηκε για την απόκτηση, πλέον δαπάνες αγοράς.</w:t>
      </w:r>
    </w:p>
    <w:p w14:paraId="42C55702" w14:textId="77777777" w:rsidR="007762B5" w:rsidRPr="00253B1B" w:rsidRDefault="007762B5" w:rsidP="007762B5">
      <w:pPr>
        <w:shd w:val="clear" w:color="auto" w:fill="FFFFFF"/>
        <w:spacing w:after="200" w:line="276" w:lineRule="auto"/>
        <w:ind w:left="5" w:right="14" w:firstLine="562"/>
        <w:jc w:val="both"/>
        <w:rPr>
          <w:b/>
          <w:sz w:val="22"/>
          <w:szCs w:val="22"/>
        </w:rPr>
      </w:pPr>
      <w:r w:rsidRPr="00253B1B">
        <w:rPr>
          <w:b/>
          <w:sz w:val="22"/>
          <w:szCs w:val="22"/>
        </w:rPr>
        <w:t>β) Μεταγενέστερη αποτίμηση</w:t>
      </w:r>
    </w:p>
    <w:p w14:paraId="27A7BEDF" w14:textId="77777777" w:rsidR="007762B5" w:rsidRPr="00253B1B" w:rsidRDefault="007762B5" w:rsidP="007762B5">
      <w:pPr>
        <w:shd w:val="clear" w:color="auto" w:fill="FFFFFF"/>
        <w:spacing w:after="200" w:line="276" w:lineRule="auto"/>
        <w:ind w:left="5" w:right="14" w:firstLine="562"/>
        <w:jc w:val="both"/>
        <w:rPr>
          <w:sz w:val="22"/>
          <w:szCs w:val="22"/>
        </w:rPr>
      </w:pPr>
      <w:r w:rsidRPr="00253B1B">
        <w:rPr>
          <w:sz w:val="22"/>
          <w:szCs w:val="22"/>
        </w:rPr>
        <w:t xml:space="preserve">Μεταγενέστερα της αρχικής καταχωρίσεως, τα χρηματοοικονομικά περιουσιακά στοιχεία αποτιμούνται στο κόστος κτήσεώς τους (ονομαστικά ποσά) μείον τυχόν ζημίες απομειώσεως, εκτός από τα έντοκα </w:t>
      </w:r>
      <w:r w:rsidRPr="00253B1B">
        <w:rPr>
          <w:sz w:val="22"/>
          <w:szCs w:val="22"/>
        </w:rPr>
        <w:lastRenderedPageBreak/>
        <w:t xml:space="preserve">χρηματοοικονομικά περιουσιακά στοιχεία, τα οποία, όταν τα ποσά, ο χρόνος λήξεώς τους ή το επιτόκιο είναι σημαντικά, αποτιμούνται στο αποσβέσιμο κόστος με τη μέθοδο του πραγματικού επιτοκίου (ή με τη σταθερή μέθοδο).  </w:t>
      </w:r>
    </w:p>
    <w:p w14:paraId="69522E00" w14:textId="77777777" w:rsidR="007762B5" w:rsidRPr="00253B1B" w:rsidRDefault="007762B5" w:rsidP="003506D2">
      <w:pPr>
        <w:shd w:val="clear" w:color="auto" w:fill="FFFFFF"/>
        <w:spacing w:after="200" w:line="252" w:lineRule="auto"/>
        <w:ind w:left="5" w:right="14" w:firstLine="562"/>
        <w:jc w:val="both"/>
        <w:rPr>
          <w:sz w:val="22"/>
          <w:szCs w:val="22"/>
        </w:rPr>
      </w:pPr>
      <w:r w:rsidRPr="00253B1B">
        <w:rPr>
          <w:sz w:val="22"/>
          <w:szCs w:val="22"/>
        </w:rPr>
        <w:t>Ζημία απομειώσεως προκύπτει όταν η λογιστική αξία του στοιχείου είναι μεγαλύτερη από το ποσό που η οντότητα εκτιμά ότι θα ανακτήσει από το στοιχείο αυτό.</w:t>
      </w:r>
    </w:p>
    <w:p w14:paraId="10BBB0A9" w14:textId="77777777" w:rsidR="007762B5" w:rsidRPr="00253B1B" w:rsidRDefault="007762B5" w:rsidP="003506D2">
      <w:pPr>
        <w:shd w:val="clear" w:color="auto" w:fill="FFFFFF"/>
        <w:spacing w:after="200" w:line="252" w:lineRule="auto"/>
        <w:ind w:left="5" w:right="14" w:firstLine="562"/>
        <w:jc w:val="both"/>
        <w:rPr>
          <w:sz w:val="22"/>
          <w:szCs w:val="22"/>
        </w:rPr>
      </w:pPr>
      <w:r w:rsidRPr="00253B1B">
        <w:rPr>
          <w:sz w:val="22"/>
          <w:szCs w:val="22"/>
        </w:rPr>
        <w:t>﻿Το ποσό που η οντότητα εκτιμά ότι θα ανακτήσει από ένα χρηματοοικονομικό περιουσιακό στοιχείο είναι το μεγαλύτερο από:</w:t>
      </w:r>
    </w:p>
    <w:p w14:paraId="0B750423" w14:textId="77777777" w:rsidR="007762B5" w:rsidRPr="00253B1B" w:rsidRDefault="007762B5" w:rsidP="003506D2">
      <w:pPr>
        <w:numPr>
          <w:ilvl w:val="0"/>
          <w:numId w:val="2"/>
        </w:numPr>
        <w:shd w:val="clear" w:color="auto" w:fill="FFFFFF"/>
        <w:spacing w:after="200" w:line="252" w:lineRule="auto"/>
        <w:ind w:left="993" w:right="14" w:hanging="426"/>
        <w:jc w:val="both"/>
        <w:rPr>
          <w:sz w:val="22"/>
          <w:szCs w:val="22"/>
        </w:rPr>
      </w:pPr>
      <w:r w:rsidRPr="00253B1B">
        <w:rPr>
          <w:sz w:val="22"/>
          <w:szCs w:val="22"/>
        </w:rPr>
        <w:t>Την παρούσα αξία του ποσού που εκτιμάται ότι θα ληφθεί από το περιουσιακό στοιχείο, υπολογιζόμενη με τη χρήση του αρχικού πραγματικού επιτοκίου.</w:t>
      </w:r>
    </w:p>
    <w:p w14:paraId="232C63CC" w14:textId="77777777" w:rsidR="007762B5" w:rsidRPr="00253B1B" w:rsidRDefault="007762B5" w:rsidP="003506D2">
      <w:pPr>
        <w:numPr>
          <w:ilvl w:val="0"/>
          <w:numId w:val="2"/>
        </w:numPr>
        <w:shd w:val="clear" w:color="auto" w:fill="FFFFFF"/>
        <w:spacing w:after="200" w:line="252" w:lineRule="auto"/>
        <w:ind w:left="993" w:right="14" w:hanging="426"/>
        <w:jc w:val="both"/>
        <w:rPr>
          <w:sz w:val="22"/>
          <w:szCs w:val="22"/>
        </w:rPr>
      </w:pPr>
      <w:r w:rsidRPr="00253B1B">
        <w:rPr>
          <w:sz w:val="22"/>
          <w:szCs w:val="22"/>
        </w:rPr>
        <w:t>Την εύλογη αξία του στοιχείου, μειωμένη με το απαιτούμενο κόστος πωλήσεως.</w:t>
      </w:r>
    </w:p>
    <w:p w14:paraId="78FD3B9C" w14:textId="77777777" w:rsidR="007762B5" w:rsidRPr="00253B1B" w:rsidRDefault="007762B5" w:rsidP="003506D2">
      <w:pPr>
        <w:shd w:val="clear" w:color="auto" w:fill="FFFFFF"/>
        <w:spacing w:after="200" w:line="252" w:lineRule="auto"/>
        <w:ind w:left="5" w:right="14" w:firstLine="562"/>
        <w:jc w:val="both"/>
        <w:rPr>
          <w:sz w:val="22"/>
          <w:szCs w:val="22"/>
        </w:rPr>
      </w:pPr>
      <w:r w:rsidRPr="00253B1B">
        <w:rPr>
          <w:sz w:val="22"/>
          <w:szCs w:val="22"/>
        </w:rPr>
        <w:t xml:space="preserve">﻿Οι ζημίες απομειώσεως καταχωρίζονται στην κατάσταση αποτελεσμάτων και αναστρέφονται ως κέρδη σε αυτή, όταν οι συνθήκες που τις προκάλεσαν πάψουν να υφίστανται. Αναστροφή γίνεται μέχρι της αξίας που θα είχε το στοιχείο, εάν δεν είχε καταχωριστεί ζημία απομειώσεως. </w:t>
      </w:r>
    </w:p>
    <w:p w14:paraId="25E4B9D9" w14:textId="77777777" w:rsidR="007762B5" w:rsidRPr="00253B1B" w:rsidRDefault="007762B5" w:rsidP="003506D2">
      <w:pPr>
        <w:shd w:val="clear" w:color="auto" w:fill="FFFFFF"/>
        <w:spacing w:after="200" w:line="252" w:lineRule="auto"/>
        <w:ind w:left="5" w:right="14" w:firstLine="562"/>
        <w:jc w:val="both"/>
        <w:rPr>
          <w:sz w:val="22"/>
          <w:szCs w:val="22"/>
        </w:rPr>
      </w:pPr>
      <w:r w:rsidRPr="00253B1B">
        <w:rPr>
          <w:sz w:val="22"/>
          <w:szCs w:val="22"/>
        </w:rPr>
        <w:t xml:space="preserve">Τα δάνεια και οι απαιτήσεις που εκφράζονται σε ξένο νόμισμα αποτιμούνται με την ισοτιμία του ξένου νομίσματος κατά την ημερομηνία του ισολογισμού. Οι σχετικές συναλλαγματικές διαφορές καταχωρίζονται στα αποτελέσματα. </w:t>
      </w:r>
    </w:p>
    <w:p w14:paraId="52BA7C25" w14:textId="77777777" w:rsidR="007762B5" w:rsidRPr="00253B1B" w:rsidRDefault="007762B5" w:rsidP="003506D2">
      <w:pPr>
        <w:shd w:val="clear" w:color="auto" w:fill="FFFFFF"/>
        <w:spacing w:after="160" w:line="252" w:lineRule="auto"/>
        <w:ind w:left="5" w:right="11" w:firstLine="562"/>
        <w:jc w:val="both"/>
        <w:rPr>
          <w:b/>
          <w:sz w:val="22"/>
          <w:szCs w:val="22"/>
        </w:rPr>
      </w:pPr>
      <w:r w:rsidRPr="00253B1B">
        <w:rPr>
          <w:b/>
          <w:sz w:val="22"/>
          <w:szCs w:val="22"/>
        </w:rPr>
        <w:t>γ) Διαγραφή</w:t>
      </w:r>
    </w:p>
    <w:p w14:paraId="573967C3" w14:textId="77777777" w:rsidR="007762B5" w:rsidRPr="00253B1B" w:rsidRDefault="007762B5" w:rsidP="003506D2">
      <w:pPr>
        <w:shd w:val="clear" w:color="auto" w:fill="FFFFFF"/>
        <w:spacing w:after="160" w:line="252" w:lineRule="auto"/>
        <w:ind w:left="5" w:right="11" w:firstLine="562"/>
        <w:jc w:val="both"/>
        <w:rPr>
          <w:sz w:val="22"/>
          <w:szCs w:val="22"/>
        </w:rPr>
      </w:pPr>
      <w:r w:rsidRPr="00253B1B">
        <w:rPr>
          <w:sz w:val="22"/>
          <w:szCs w:val="22"/>
        </w:rPr>
        <w:t>Ένα χρηματοοικονομικό περιουσιακό στοιχείο διαγράφεται όταν και μόνον όταν εκπνεύσουν τα συμβατικά δικαιώματα επί των ταμιακών ροών του στοιχείου ή μεταβιβαστούν ουσιαστικά όλοι οι κίνδυνοι και τα οφέλη που προκύπτουν από την κυριότητα του στοιχείου αυτού.</w:t>
      </w:r>
    </w:p>
    <w:p w14:paraId="504E9940" w14:textId="77777777" w:rsidR="006B570B" w:rsidRPr="00253B1B" w:rsidRDefault="006B570B" w:rsidP="003506D2">
      <w:pPr>
        <w:shd w:val="clear" w:color="auto" w:fill="FFFFFF"/>
        <w:spacing w:after="160" w:line="252" w:lineRule="auto"/>
        <w:ind w:left="5" w:right="11" w:hanging="5"/>
        <w:jc w:val="both"/>
        <w:rPr>
          <w:b/>
          <w:sz w:val="22"/>
          <w:szCs w:val="22"/>
        </w:rPr>
      </w:pPr>
      <w:r w:rsidRPr="00253B1B">
        <w:rPr>
          <w:b/>
          <w:sz w:val="22"/>
          <w:szCs w:val="22"/>
        </w:rPr>
        <w:t>3.1.4. Φόροι εισοδήματος</w:t>
      </w:r>
    </w:p>
    <w:p w14:paraId="725A1E4A" w14:textId="77777777" w:rsidR="006B570B" w:rsidRPr="00253B1B" w:rsidRDefault="006B570B" w:rsidP="003506D2">
      <w:pPr>
        <w:shd w:val="clear" w:color="auto" w:fill="FFFFFF"/>
        <w:spacing w:after="160" w:line="252" w:lineRule="auto"/>
        <w:ind w:left="5" w:right="11" w:hanging="5"/>
        <w:jc w:val="both"/>
        <w:rPr>
          <w:b/>
          <w:sz w:val="22"/>
          <w:szCs w:val="22"/>
        </w:rPr>
      </w:pPr>
      <w:r w:rsidRPr="00253B1B">
        <w:rPr>
          <w:b/>
          <w:sz w:val="22"/>
          <w:szCs w:val="22"/>
        </w:rPr>
        <w:t>3.1.4.1. Τρέχων φόρος</w:t>
      </w:r>
    </w:p>
    <w:p w14:paraId="0648E842" w14:textId="77777777" w:rsidR="001C7C16" w:rsidRPr="00253B1B" w:rsidRDefault="001C7C16" w:rsidP="003506D2">
      <w:pPr>
        <w:shd w:val="clear" w:color="auto" w:fill="FFFFFF"/>
        <w:spacing w:after="160" w:line="252" w:lineRule="auto"/>
        <w:ind w:left="5" w:right="11" w:firstLine="562"/>
        <w:jc w:val="both"/>
        <w:rPr>
          <w:sz w:val="22"/>
          <w:szCs w:val="22"/>
        </w:rPr>
      </w:pPr>
      <w:r w:rsidRPr="00253B1B">
        <w:rPr>
          <w:sz w:val="22"/>
          <w:szCs w:val="22"/>
        </w:rPr>
        <w:t>Ο τρέχων φόρος εισοδήματος περιλαμβάνει:</w:t>
      </w:r>
    </w:p>
    <w:p w14:paraId="3602EAB1" w14:textId="77777777" w:rsidR="001C7C16" w:rsidRPr="00253B1B" w:rsidRDefault="001C7C16" w:rsidP="003506D2">
      <w:pPr>
        <w:numPr>
          <w:ilvl w:val="0"/>
          <w:numId w:val="1"/>
        </w:numPr>
        <w:shd w:val="clear" w:color="auto" w:fill="FFFFFF"/>
        <w:spacing w:after="160" w:line="252" w:lineRule="auto"/>
        <w:ind w:left="993" w:right="11" w:hanging="426"/>
        <w:jc w:val="both"/>
        <w:rPr>
          <w:sz w:val="22"/>
          <w:szCs w:val="22"/>
        </w:rPr>
      </w:pPr>
      <w:r w:rsidRPr="00253B1B">
        <w:rPr>
          <w:sz w:val="22"/>
          <w:szCs w:val="22"/>
        </w:rPr>
        <w:t>Τον φόρο εισοδήματος που προκύπτει με βάση τις διατάξεις της εκάστοτε ισχύουσας φορολογικής νομοθεσίας.</w:t>
      </w:r>
    </w:p>
    <w:p w14:paraId="28F2636A" w14:textId="77777777" w:rsidR="001C7C16" w:rsidRPr="00253B1B" w:rsidRDefault="001C7C16" w:rsidP="003506D2">
      <w:pPr>
        <w:numPr>
          <w:ilvl w:val="0"/>
          <w:numId w:val="1"/>
        </w:numPr>
        <w:shd w:val="clear" w:color="auto" w:fill="FFFFFF"/>
        <w:spacing w:after="160" w:line="252" w:lineRule="auto"/>
        <w:ind w:left="993" w:right="11" w:hanging="426"/>
        <w:jc w:val="both"/>
        <w:rPr>
          <w:sz w:val="22"/>
          <w:szCs w:val="22"/>
        </w:rPr>
      </w:pPr>
      <w:r w:rsidRPr="00253B1B">
        <w:rPr>
          <w:sz w:val="22"/>
          <w:szCs w:val="22"/>
        </w:rPr>
        <w:t xml:space="preserve">Τον φόρο εισοδήματος και τις προσαυξήσεις που προκύπτουν από τον φορολογικό έλεγχο. </w:t>
      </w:r>
    </w:p>
    <w:p w14:paraId="75DCAE8C" w14:textId="77777777" w:rsidR="001C7C16" w:rsidRPr="00253B1B" w:rsidRDefault="001C7C16" w:rsidP="003506D2">
      <w:pPr>
        <w:shd w:val="clear" w:color="auto" w:fill="FFFFFF"/>
        <w:spacing w:after="160" w:line="252" w:lineRule="auto"/>
        <w:ind w:left="993" w:right="11"/>
        <w:jc w:val="both"/>
        <w:rPr>
          <w:sz w:val="22"/>
          <w:szCs w:val="22"/>
        </w:rPr>
      </w:pPr>
      <w:r w:rsidRPr="00253B1B">
        <w:rPr>
          <w:sz w:val="22"/>
          <w:szCs w:val="22"/>
        </w:rPr>
        <w:t>Οι διαφορές του φορολογικού ελέγχου, καταχωρίζονται στην κατάσταση αποτελεσμάτων της χρήσεως, κατά την οποία βεβαιώνονται από τις φορολογικές αρχές και γίνονται αποδεκτές από την Εταιρεία.</w:t>
      </w:r>
    </w:p>
    <w:p w14:paraId="2E213748" w14:textId="77777777" w:rsidR="006D1CE9" w:rsidRPr="00253B1B" w:rsidRDefault="006D1CE9" w:rsidP="003506D2">
      <w:pPr>
        <w:shd w:val="clear" w:color="auto" w:fill="FFFFFF"/>
        <w:spacing w:after="160" w:line="252" w:lineRule="auto"/>
        <w:ind w:right="11"/>
        <w:jc w:val="both"/>
        <w:rPr>
          <w:b/>
          <w:sz w:val="22"/>
          <w:szCs w:val="22"/>
        </w:rPr>
      </w:pPr>
      <w:r w:rsidRPr="00253B1B">
        <w:rPr>
          <w:b/>
          <w:sz w:val="22"/>
          <w:szCs w:val="22"/>
        </w:rPr>
        <w:t>3.1.4.2. Αναβαλλόμενοι φόροι</w:t>
      </w:r>
    </w:p>
    <w:p w14:paraId="4B5299E6" w14:textId="77777777" w:rsidR="006D1CE9" w:rsidRPr="00253B1B" w:rsidRDefault="006D1CE9" w:rsidP="003506D2">
      <w:pPr>
        <w:shd w:val="clear" w:color="auto" w:fill="FFFFFF"/>
        <w:spacing w:after="200" w:line="252" w:lineRule="auto"/>
        <w:ind w:left="5" w:right="14" w:firstLine="562"/>
        <w:jc w:val="both"/>
        <w:rPr>
          <w:rStyle w:val="FontStyle60"/>
        </w:rPr>
      </w:pPr>
      <w:r w:rsidRPr="00253B1B">
        <w:rPr>
          <w:rStyle w:val="FontStyle60"/>
        </w:rPr>
        <w:t xml:space="preserve">Αναβαλλόμενοι φόροι προκύπτουν όταν υπάρχουν προσωρινές (αναστρέψιμες) διαφορές μεταξύ λογιστικής αξίας και φορολογικής βάσεως στοιχείων του ισολογισμού. </w:t>
      </w:r>
    </w:p>
    <w:p w14:paraId="3AE6F71A" w14:textId="77777777" w:rsidR="006D1CE9" w:rsidRPr="00253B1B" w:rsidRDefault="006D1CE9" w:rsidP="003506D2">
      <w:pPr>
        <w:shd w:val="clear" w:color="auto" w:fill="FFFFFF"/>
        <w:spacing w:after="200" w:line="252" w:lineRule="auto"/>
        <w:ind w:left="5" w:right="14" w:firstLine="562"/>
        <w:jc w:val="both"/>
        <w:rPr>
          <w:sz w:val="22"/>
          <w:szCs w:val="22"/>
        </w:rPr>
      </w:pPr>
      <w:r w:rsidRPr="00253B1B">
        <w:rPr>
          <w:sz w:val="22"/>
          <w:szCs w:val="22"/>
        </w:rPr>
        <w:t>Η εταιρεία δεν έχει επιλέξει την καταχώριση αναβαλλόμενων φόρων.</w:t>
      </w:r>
    </w:p>
    <w:p w14:paraId="49A28586" w14:textId="77777777" w:rsidR="00377285" w:rsidRPr="00253B1B" w:rsidRDefault="00377285" w:rsidP="003506D2">
      <w:pPr>
        <w:shd w:val="clear" w:color="auto" w:fill="FFFFFF"/>
        <w:spacing w:after="200" w:line="252" w:lineRule="auto"/>
        <w:ind w:left="5" w:right="14" w:hanging="5"/>
        <w:jc w:val="both"/>
        <w:rPr>
          <w:b/>
          <w:sz w:val="22"/>
          <w:szCs w:val="22"/>
        </w:rPr>
      </w:pPr>
      <w:r w:rsidRPr="00253B1B">
        <w:rPr>
          <w:b/>
          <w:sz w:val="22"/>
          <w:szCs w:val="22"/>
        </w:rPr>
        <w:t>3.1.5. Αποθέματα</w:t>
      </w:r>
    </w:p>
    <w:p w14:paraId="7AE940CA" w14:textId="77777777" w:rsidR="006D1CE9" w:rsidRPr="00253B1B" w:rsidRDefault="006D1CE9" w:rsidP="003506D2">
      <w:pPr>
        <w:shd w:val="clear" w:color="auto" w:fill="FFFFFF"/>
        <w:spacing w:after="200" w:line="252" w:lineRule="auto"/>
        <w:ind w:left="5" w:right="14" w:firstLine="562"/>
        <w:jc w:val="both"/>
        <w:rPr>
          <w:b/>
          <w:sz w:val="22"/>
          <w:szCs w:val="22"/>
        </w:rPr>
      </w:pPr>
      <w:r w:rsidRPr="00253B1B">
        <w:rPr>
          <w:b/>
          <w:sz w:val="22"/>
          <w:szCs w:val="22"/>
        </w:rPr>
        <w:t>α) Αρχική καταχώριση</w:t>
      </w:r>
    </w:p>
    <w:p w14:paraId="616780CA" w14:textId="77777777" w:rsidR="006D1CE9" w:rsidRPr="00253B1B" w:rsidRDefault="006D1CE9" w:rsidP="003506D2">
      <w:pPr>
        <w:shd w:val="clear" w:color="auto" w:fill="FFFFFF"/>
        <w:spacing w:after="200" w:line="252" w:lineRule="auto"/>
        <w:ind w:left="5" w:right="14" w:firstLine="562"/>
        <w:jc w:val="both"/>
        <w:rPr>
          <w:sz w:val="22"/>
          <w:szCs w:val="22"/>
        </w:rPr>
      </w:pPr>
      <w:r w:rsidRPr="00253B1B">
        <w:rPr>
          <w:sz w:val="22"/>
          <w:szCs w:val="22"/>
        </w:rPr>
        <w:t xml:space="preserve">Τα αποθέματα καταχωρίζονται αρχικά στο κόστος κτήσεως, το οποίο περιλαμβάνει κάθε δαπάνη που απαιτείται για να έλθει κάθε στοιχείο των αποθεμάτων στην παρούσα κατάσταση ή θέση ή επιδιωκόμενη χρήση. </w:t>
      </w:r>
    </w:p>
    <w:p w14:paraId="5AC4A584" w14:textId="77777777" w:rsidR="006D1CE9" w:rsidRPr="00253B1B" w:rsidRDefault="006D1CE9" w:rsidP="003506D2">
      <w:pPr>
        <w:shd w:val="clear" w:color="auto" w:fill="FFFFFF"/>
        <w:spacing w:after="200" w:line="276" w:lineRule="auto"/>
        <w:ind w:left="5" w:right="14" w:firstLine="562"/>
        <w:jc w:val="both"/>
        <w:rPr>
          <w:sz w:val="22"/>
          <w:szCs w:val="22"/>
        </w:rPr>
      </w:pPr>
      <w:r w:rsidRPr="00253B1B">
        <w:rPr>
          <w:sz w:val="22"/>
          <w:szCs w:val="22"/>
        </w:rPr>
        <w:lastRenderedPageBreak/>
        <w:t>Ειδικότερα το κόστος των ιδιοπαραγόμενων αποθεμάτων περιλαμβάνει το κόστος πρώτων υλών, αναλώσιμων υλικών, εργασίας και άλλο κόστος που σχετίζεται άμεσα με τα εν λόγω στοιχεία. Επιπλέον περιλαμβάνει μια εύλογη αναλογία σταθερών και μεταβλητών εξόδων που σχετίζονται έμμεσα με το ιδιοπαραγόμενο στοιχείο, στο βαθμό που τα ποσά αυτά αναφέρονται στην περίοδο παραγωγής. Η εταιρεία δεν επιβαρύνει το κόστος των ιδιοπαραγόμενων αποθεμάτων μακράς περιόδου παραγωγής ή ωριμάνσεως με τόκους εντόκων υποχρεώσεων.</w:t>
      </w:r>
    </w:p>
    <w:p w14:paraId="450E9484" w14:textId="77777777" w:rsidR="006D1CE9" w:rsidRPr="00253B1B" w:rsidRDefault="006D1CE9" w:rsidP="003506D2">
      <w:pPr>
        <w:shd w:val="clear" w:color="auto" w:fill="FFFFFF"/>
        <w:spacing w:after="200" w:line="276" w:lineRule="auto"/>
        <w:ind w:left="5" w:right="14" w:firstLine="562"/>
        <w:jc w:val="both"/>
        <w:rPr>
          <w:b/>
          <w:sz w:val="22"/>
          <w:szCs w:val="22"/>
        </w:rPr>
      </w:pPr>
      <w:r w:rsidRPr="00253B1B">
        <w:rPr>
          <w:b/>
          <w:sz w:val="22"/>
          <w:szCs w:val="22"/>
        </w:rPr>
        <w:t>β) Μεταγενέστερη αποτίμηση</w:t>
      </w:r>
    </w:p>
    <w:p w14:paraId="5B646471" w14:textId="77777777" w:rsidR="006D1CE9" w:rsidRPr="00253B1B" w:rsidRDefault="006D1CE9" w:rsidP="003506D2">
      <w:pPr>
        <w:shd w:val="clear" w:color="auto" w:fill="FFFFFF"/>
        <w:spacing w:after="200" w:line="276" w:lineRule="auto"/>
        <w:ind w:left="5" w:right="14" w:firstLine="562"/>
        <w:jc w:val="both"/>
        <w:rPr>
          <w:sz w:val="22"/>
          <w:szCs w:val="22"/>
        </w:rPr>
      </w:pPr>
      <w:r w:rsidRPr="00253B1B">
        <w:rPr>
          <w:sz w:val="22"/>
          <w:szCs w:val="22"/>
        </w:rPr>
        <w:t>Μεταγενέστερα της αρχικής καταχωρίσεως, τα αποθέματα αποτιμούνται στην κατ' είδος χαμηλότερη τιμή μεταξύ του κόστους κτήσεως και της καθαρής ρευστοποιήσιμης αξίας τους. Το κόστος κτήσεως προσδιορίζεται με τη μέθοδο της μέσης σταθμικής τιμής. Στην περίπτωση αποτιμήσεως στην καθαρή ρευστοποιήσιμη αξία, η ζημία απομειώσεως καταχωρίζεται ως κόστος πωληθέντων, εκτός αν είναι σημαντική, οπότε ενσωματώνεται στο κονδύλι «απομειώσεις περιουσιακών στοιχείων».</w:t>
      </w:r>
    </w:p>
    <w:p w14:paraId="356E30BF" w14:textId="77777777" w:rsidR="00FF2F42" w:rsidRPr="00253B1B" w:rsidRDefault="00713F0B" w:rsidP="003506D2">
      <w:pPr>
        <w:shd w:val="clear" w:color="auto" w:fill="FFFFFF"/>
        <w:spacing w:after="200" w:line="276" w:lineRule="auto"/>
        <w:ind w:left="5" w:right="14" w:hanging="5"/>
        <w:jc w:val="both"/>
        <w:rPr>
          <w:b/>
          <w:sz w:val="22"/>
          <w:szCs w:val="22"/>
        </w:rPr>
      </w:pPr>
      <w:r w:rsidRPr="00253B1B">
        <w:rPr>
          <w:b/>
          <w:sz w:val="22"/>
          <w:szCs w:val="22"/>
        </w:rPr>
        <w:t>3.1.</w:t>
      </w:r>
      <w:r w:rsidR="00FF52A7" w:rsidRPr="00253B1B">
        <w:rPr>
          <w:b/>
          <w:sz w:val="22"/>
          <w:szCs w:val="22"/>
        </w:rPr>
        <w:t>6</w:t>
      </w:r>
      <w:r w:rsidR="00FF2F42" w:rsidRPr="00253B1B">
        <w:rPr>
          <w:b/>
          <w:sz w:val="22"/>
          <w:szCs w:val="22"/>
        </w:rPr>
        <w:t>. Προκαταβολές και λοιπά μη χρηματοοικονομικά περιουσιακά στοιχεία</w:t>
      </w:r>
    </w:p>
    <w:p w14:paraId="5F50E63A" w14:textId="77777777" w:rsidR="00F808D4" w:rsidRPr="00253B1B" w:rsidRDefault="00F808D4" w:rsidP="003506D2">
      <w:pPr>
        <w:shd w:val="clear" w:color="auto" w:fill="FFFFFF"/>
        <w:spacing w:after="200" w:line="276" w:lineRule="auto"/>
        <w:ind w:left="5" w:right="14" w:firstLine="562"/>
        <w:jc w:val="both"/>
        <w:rPr>
          <w:sz w:val="22"/>
          <w:szCs w:val="22"/>
        </w:rPr>
      </w:pPr>
      <w:r w:rsidRPr="00253B1B">
        <w:rPr>
          <w:sz w:val="22"/>
          <w:szCs w:val="22"/>
        </w:rPr>
        <w:t>Οι προκαταβολές δαπανών καταχωρίζονται αρχικά στο κόστος κτήσεως (καταβαλλόμενα ποσά) και  αποτιμούνται μεταγενέστερα στο αρχικό κόστος κτήσεως, μείον τα χρησιμοποιηθέντα ποσά βάσει της αρχής του δουλευμένου και τυχόν ζημίες απομειώσεως. Η απομείωση των προκαταβολών δαπανών αναφέρεται στην περίπτωση στην οποία ο λήπτης του σχετικού ποσού δεν είναι σε θέση ούτε να εκπληρώσει την δέσμευση που ανέλαβε ούτε να επιστρέψει το υπόλοιπο του ποσού.</w:t>
      </w:r>
    </w:p>
    <w:p w14:paraId="3D9D2CEA" w14:textId="77777777" w:rsidR="00F808D4" w:rsidRPr="00253B1B" w:rsidRDefault="00F808D4" w:rsidP="003506D2">
      <w:pPr>
        <w:shd w:val="clear" w:color="auto" w:fill="FFFFFF"/>
        <w:spacing w:after="200" w:line="276" w:lineRule="auto"/>
        <w:ind w:left="5" w:right="14" w:firstLine="562"/>
        <w:jc w:val="both"/>
        <w:rPr>
          <w:sz w:val="22"/>
          <w:szCs w:val="22"/>
        </w:rPr>
      </w:pPr>
      <w:r w:rsidRPr="00253B1B">
        <w:rPr>
          <w:sz w:val="22"/>
          <w:szCs w:val="22"/>
        </w:rPr>
        <w:t>﻿Τα λοιπά μη χρηματοοικονομικά περιουσιακά στοιχεία καταχωρίζονται αρχικά στο κόστος κτήσεως και αποτιμούνται μεταγενέστερα στη χαμηλότερη αξία μεταξύ κόστους κτήσεως και ανακτήσιμης αξίας, δηλαδή του ποσού που αναμένεται να ληφθεί.</w:t>
      </w:r>
    </w:p>
    <w:p w14:paraId="51D0F1C9" w14:textId="77777777" w:rsidR="00FF2F42" w:rsidRPr="00253B1B" w:rsidRDefault="00713F0B" w:rsidP="003506D2">
      <w:pPr>
        <w:shd w:val="clear" w:color="auto" w:fill="FFFFFF"/>
        <w:spacing w:after="200" w:line="276" w:lineRule="auto"/>
        <w:ind w:left="5" w:right="14" w:hanging="5"/>
        <w:jc w:val="both"/>
        <w:rPr>
          <w:b/>
          <w:sz w:val="22"/>
          <w:szCs w:val="22"/>
        </w:rPr>
      </w:pPr>
      <w:r w:rsidRPr="00253B1B">
        <w:rPr>
          <w:b/>
          <w:sz w:val="22"/>
          <w:szCs w:val="22"/>
        </w:rPr>
        <w:t>3.1.</w:t>
      </w:r>
      <w:r w:rsidR="0048530C" w:rsidRPr="00253B1B">
        <w:rPr>
          <w:b/>
          <w:sz w:val="22"/>
          <w:szCs w:val="22"/>
        </w:rPr>
        <w:t>7</w:t>
      </w:r>
      <w:r w:rsidR="00FF2F42" w:rsidRPr="00253B1B">
        <w:rPr>
          <w:b/>
          <w:sz w:val="22"/>
          <w:szCs w:val="22"/>
        </w:rPr>
        <w:t>. Χρηματοοικονομικές υποχρεώσεις</w:t>
      </w:r>
    </w:p>
    <w:p w14:paraId="57D8919F" w14:textId="77777777" w:rsidR="00004189" w:rsidRPr="00253B1B" w:rsidRDefault="00004189" w:rsidP="003506D2">
      <w:pPr>
        <w:shd w:val="clear" w:color="auto" w:fill="FFFFFF"/>
        <w:spacing w:after="200" w:line="276" w:lineRule="auto"/>
        <w:ind w:left="5" w:right="14" w:firstLine="562"/>
        <w:jc w:val="both"/>
        <w:rPr>
          <w:b/>
          <w:sz w:val="22"/>
          <w:szCs w:val="22"/>
        </w:rPr>
      </w:pPr>
      <w:r w:rsidRPr="00253B1B">
        <w:rPr>
          <w:b/>
          <w:sz w:val="22"/>
          <w:szCs w:val="22"/>
        </w:rPr>
        <w:t>α) Αρχική καταχώριση και μεταγενέστερη αποτίμηση</w:t>
      </w:r>
    </w:p>
    <w:p w14:paraId="2A57664B" w14:textId="77777777" w:rsidR="00004189" w:rsidRPr="00253B1B" w:rsidRDefault="00004189" w:rsidP="003506D2">
      <w:pPr>
        <w:shd w:val="clear" w:color="auto" w:fill="FFFFFF"/>
        <w:spacing w:after="200" w:line="276" w:lineRule="auto"/>
        <w:ind w:left="5" w:right="14" w:firstLine="562"/>
        <w:jc w:val="both"/>
        <w:rPr>
          <w:sz w:val="22"/>
          <w:szCs w:val="22"/>
        </w:rPr>
      </w:pPr>
      <w:r w:rsidRPr="00253B1B">
        <w:rPr>
          <w:sz w:val="22"/>
          <w:szCs w:val="22"/>
        </w:rPr>
        <w:t>Οι χρηματοοικονομικές υποχρεώσεις, τόσο κατά την αρχική καταχώριση, όσο και μεταγενέστερα, αποτιμούνται στα ονομαστικά ποσά τους, εκτός από τις μακροπρόθεσμης λήξεως, οι οποίες αποτιμούνται στο αποσβέσιμο κόστος με τη με τη σταθερή μέθοδο. Οι χρηματοοικονομικές υποχρεώσεις που εκφράζονται σε ξένο νόμισμα αποτιμούνται με την ισοτιμία του ξένου νομίσματος κατά την ημερομηνία του ισολογισμού. Οι σχετικές συναλλαγματικές διαφορές καταχωρίζονται στα αποτελέσματα.</w:t>
      </w:r>
    </w:p>
    <w:p w14:paraId="75FC0370" w14:textId="77777777" w:rsidR="00004189" w:rsidRPr="00253B1B" w:rsidRDefault="00004189" w:rsidP="003506D2">
      <w:pPr>
        <w:shd w:val="clear" w:color="auto" w:fill="FFFFFF"/>
        <w:spacing w:after="200" w:line="276" w:lineRule="auto"/>
        <w:ind w:left="5" w:right="14" w:firstLine="562"/>
        <w:jc w:val="both"/>
        <w:rPr>
          <w:b/>
          <w:sz w:val="22"/>
          <w:szCs w:val="22"/>
        </w:rPr>
      </w:pPr>
      <w:r w:rsidRPr="00253B1B">
        <w:rPr>
          <w:b/>
          <w:sz w:val="22"/>
          <w:szCs w:val="22"/>
        </w:rPr>
        <w:t>β) Διαγραφή</w:t>
      </w:r>
    </w:p>
    <w:p w14:paraId="601CE8BB" w14:textId="77777777" w:rsidR="00004189" w:rsidRPr="00253B1B" w:rsidRDefault="00004189" w:rsidP="003506D2">
      <w:pPr>
        <w:shd w:val="clear" w:color="auto" w:fill="FFFFFF"/>
        <w:spacing w:after="200" w:line="276" w:lineRule="auto"/>
        <w:ind w:left="5" w:right="14" w:firstLine="562"/>
        <w:jc w:val="both"/>
        <w:rPr>
          <w:sz w:val="22"/>
          <w:szCs w:val="22"/>
        </w:rPr>
      </w:pPr>
      <w:r w:rsidRPr="00253B1B">
        <w:rPr>
          <w:sz w:val="22"/>
          <w:szCs w:val="22"/>
        </w:rPr>
        <w:t xml:space="preserve">Μια χρηματοοικονομική υποχρέωση διαγράφεται όταν και μόνον όταν η συμβατική δέσμευση εκπληρώνεται, ακυρώνεται ή εκπνέει, δηλαδή όταν η συμβατική δέσμευση που την δημιούργησε δεν υφίσταται πλέον. </w:t>
      </w:r>
    </w:p>
    <w:p w14:paraId="50193050" w14:textId="77777777" w:rsidR="00AB767D" w:rsidRPr="00253B1B" w:rsidRDefault="00AB767D" w:rsidP="003506D2">
      <w:pPr>
        <w:shd w:val="clear" w:color="auto" w:fill="FFFFFF"/>
        <w:spacing w:after="200" w:line="276" w:lineRule="auto"/>
        <w:ind w:left="5" w:right="14" w:hanging="5"/>
        <w:jc w:val="both"/>
        <w:rPr>
          <w:b/>
          <w:sz w:val="22"/>
          <w:szCs w:val="22"/>
        </w:rPr>
      </w:pPr>
      <w:r w:rsidRPr="00253B1B">
        <w:rPr>
          <w:b/>
          <w:sz w:val="22"/>
          <w:szCs w:val="22"/>
        </w:rPr>
        <w:t>3.1.8. Μη χρηματοοικονομικές υποχρεώσεις</w:t>
      </w:r>
    </w:p>
    <w:p w14:paraId="715F59DB" w14:textId="77777777" w:rsidR="00EE246B" w:rsidRPr="00253B1B" w:rsidRDefault="00EE246B" w:rsidP="003506D2">
      <w:pPr>
        <w:shd w:val="clear" w:color="auto" w:fill="FFFFFF"/>
        <w:spacing w:after="200" w:line="276" w:lineRule="auto"/>
        <w:ind w:left="5" w:right="14" w:firstLine="562"/>
        <w:jc w:val="both"/>
        <w:rPr>
          <w:b/>
          <w:sz w:val="22"/>
          <w:szCs w:val="22"/>
        </w:rPr>
      </w:pPr>
      <w:r w:rsidRPr="00253B1B">
        <w:rPr>
          <w:b/>
          <w:sz w:val="22"/>
          <w:szCs w:val="22"/>
        </w:rPr>
        <w:t>α) Αρχική καταχώριση και μεταγενέστερη αποτίμηση</w:t>
      </w:r>
    </w:p>
    <w:p w14:paraId="72071CDE" w14:textId="77777777" w:rsidR="00EE246B" w:rsidRPr="00253B1B" w:rsidRDefault="00EE246B" w:rsidP="003506D2">
      <w:pPr>
        <w:shd w:val="clear" w:color="auto" w:fill="FFFFFF"/>
        <w:spacing w:after="200" w:line="276" w:lineRule="auto"/>
        <w:ind w:left="5" w:right="14" w:firstLine="562"/>
        <w:jc w:val="both"/>
        <w:rPr>
          <w:sz w:val="22"/>
          <w:szCs w:val="22"/>
        </w:rPr>
      </w:pPr>
      <w:r w:rsidRPr="00253B1B">
        <w:rPr>
          <w:sz w:val="22"/>
          <w:szCs w:val="22"/>
        </w:rPr>
        <w:t xml:space="preserve">Οι μη χρηματοοικονομικές υποχρεώσεις καταχωρίζονται αρχικά και αποτιμούνται μεταγενέστερα στο ονομαστικό ποσό που αναμένεται να απαιτηθεί για το διακανονισμό τους. Διαφορές που προκύπτουν είτε κατά την επανεκτίμησή είτε κατά το διακανονισμό των μη χρηματοοικονομικών υποχρεώσεων καταχωρίζονται ως κέρδη ή ζημίες της περιόδου στην οποία προκύπτουν. </w:t>
      </w:r>
    </w:p>
    <w:p w14:paraId="15EB69A9" w14:textId="77777777" w:rsidR="00EE246B" w:rsidRPr="00253B1B" w:rsidRDefault="00EE246B" w:rsidP="003506D2">
      <w:pPr>
        <w:shd w:val="clear" w:color="auto" w:fill="FFFFFF"/>
        <w:spacing w:after="200" w:line="276" w:lineRule="auto"/>
        <w:ind w:left="5" w:right="14" w:firstLine="562"/>
        <w:jc w:val="both"/>
        <w:rPr>
          <w:b/>
          <w:sz w:val="22"/>
          <w:szCs w:val="22"/>
        </w:rPr>
      </w:pPr>
      <w:r w:rsidRPr="00253B1B">
        <w:rPr>
          <w:b/>
          <w:sz w:val="22"/>
          <w:szCs w:val="22"/>
        </w:rPr>
        <w:lastRenderedPageBreak/>
        <w:t>β) Διαγραφή</w:t>
      </w:r>
    </w:p>
    <w:p w14:paraId="0341395D" w14:textId="77777777" w:rsidR="00EE246B" w:rsidRPr="00253B1B" w:rsidRDefault="00EE246B" w:rsidP="003506D2">
      <w:pPr>
        <w:shd w:val="clear" w:color="auto" w:fill="FFFFFF"/>
        <w:spacing w:after="200" w:line="276" w:lineRule="auto"/>
        <w:ind w:left="5" w:right="14" w:firstLine="562"/>
        <w:jc w:val="both"/>
        <w:rPr>
          <w:sz w:val="22"/>
          <w:szCs w:val="22"/>
        </w:rPr>
      </w:pPr>
      <w:r w:rsidRPr="00253B1B">
        <w:rPr>
          <w:sz w:val="22"/>
          <w:szCs w:val="22"/>
        </w:rPr>
        <w:t xml:space="preserve">Μια μη χρηματοοικονομική υποχρέωση διαγράφεται όταν και μόνον όταν η συμβατική δέσμευση εκπληρώνεται, ακυρώνεται ή εκπνέει, δηλαδή όταν η συμβατική δέσμευση που την δημιούργησε δεν υφίσταται πλέον. </w:t>
      </w:r>
    </w:p>
    <w:p w14:paraId="78424467" w14:textId="77777777" w:rsidR="00AB767D" w:rsidRPr="00253B1B" w:rsidRDefault="00AB767D" w:rsidP="003506D2">
      <w:pPr>
        <w:shd w:val="clear" w:color="auto" w:fill="FFFFFF"/>
        <w:spacing w:after="200" w:line="276" w:lineRule="auto"/>
        <w:ind w:left="5" w:right="14" w:hanging="5"/>
        <w:jc w:val="both"/>
        <w:rPr>
          <w:b/>
          <w:sz w:val="22"/>
          <w:szCs w:val="22"/>
        </w:rPr>
      </w:pPr>
      <w:r w:rsidRPr="00253B1B">
        <w:rPr>
          <w:b/>
          <w:sz w:val="22"/>
          <w:szCs w:val="22"/>
        </w:rPr>
        <w:t>3.1.9. Προβλέψεις</w:t>
      </w:r>
    </w:p>
    <w:p w14:paraId="2147164A" w14:textId="77777777" w:rsidR="00DC73B8" w:rsidRPr="00253B1B" w:rsidRDefault="00DC73B8" w:rsidP="003506D2">
      <w:pPr>
        <w:shd w:val="clear" w:color="auto" w:fill="FFFFFF"/>
        <w:spacing w:after="200" w:line="276" w:lineRule="auto"/>
        <w:ind w:left="5" w:right="14" w:firstLine="562"/>
        <w:jc w:val="both"/>
        <w:rPr>
          <w:sz w:val="22"/>
          <w:szCs w:val="22"/>
        </w:rPr>
      </w:pPr>
      <w:r w:rsidRPr="00253B1B">
        <w:rPr>
          <w:sz w:val="22"/>
          <w:szCs w:val="22"/>
        </w:rPr>
        <w:t>Οι προβλέψεις καταχωρίζονται αρχικά και αποτιμούνται μεταγενέστερα στο ονομαστικό ποσό που αναμένεται να απαιτηθεί για το διακανονισμό τους, εκτός αν η αποτίμηση στην παρούσα αξία του ποσού που αναμένεται να απαιτηθεί για το διακανονισμό τους έχει σημαντική επίδραση στα ποσά των χρηματοοικονομικών καταστάσεων.</w:t>
      </w:r>
    </w:p>
    <w:p w14:paraId="3F2ECA75" w14:textId="77777777" w:rsidR="00DC73B8" w:rsidRPr="00253B1B" w:rsidRDefault="00DC73B8" w:rsidP="003506D2">
      <w:pPr>
        <w:shd w:val="clear" w:color="auto" w:fill="FFFFFF"/>
        <w:spacing w:after="200" w:line="276" w:lineRule="auto"/>
        <w:ind w:left="5" w:right="14" w:firstLine="562"/>
        <w:jc w:val="both"/>
        <w:rPr>
          <w:sz w:val="22"/>
          <w:szCs w:val="22"/>
        </w:rPr>
      </w:pPr>
      <w:r w:rsidRPr="00253B1B">
        <w:rPr>
          <w:sz w:val="22"/>
          <w:szCs w:val="22"/>
        </w:rPr>
        <w:t xml:space="preserve">Ειδικότερα, οι προβλέψεις για παροχές σε εργαζομένους μετά την έξοδο από την υπηρεσία, </w:t>
      </w:r>
      <w:r w:rsidRPr="00253B1B">
        <w:rPr>
          <w:rStyle w:val="FontStyle60"/>
        </w:rPr>
        <w:t xml:space="preserve">που προκύπτουν από προγράμματα καθορισμένων παροχών, </w:t>
      </w:r>
      <w:r w:rsidRPr="00253B1B">
        <w:rPr>
          <w:sz w:val="22"/>
          <w:szCs w:val="22"/>
        </w:rPr>
        <w:t>καταχωρίζονται και αποτιμούνται στα προκύπτοντα από τη νομοθεσία ονομαστικά ποσά κατά την ημερομηνία του ισολογισμού.</w:t>
      </w:r>
    </w:p>
    <w:p w14:paraId="0119BF7A" w14:textId="77777777" w:rsidR="00FF2F42" w:rsidRPr="00253B1B" w:rsidRDefault="001C371E" w:rsidP="003506D2">
      <w:pPr>
        <w:shd w:val="clear" w:color="auto" w:fill="FFFFFF"/>
        <w:spacing w:after="200" w:line="276" w:lineRule="auto"/>
        <w:ind w:left="5" w:right="11" w:hanging="5"/>
        <w:jc w:val="both"/>
        <w:rPr>
          <w:b/>
          <w:sz w:val="22"/>
          <w:szCs w:val="22"/>
        </w:rPr>
      </w:pPr>
      <w:r w:rsidRPr="00253B1B">
        <w:rPr>
          <w:b/>
          <w:sz w:val="22"/>
          <w:szCs w:val="22"/>
        </w:rPr>
        <w:t>3.1.10</w:t>
      </w:r>
      <w:r w:rsidR="00FF2F42" w:rsidRPr="00253B1B">
        <w:rPr>
          <w:b/>
          <w:sz w:val="22"/>
          <w:szCs w:val="22"/>
        </w:rPr>
        <w:t>. Κρατικές επιχορηγήσεις</w:t>
      </w:r>
    </w:p>
    <w:p w14:paraId="53D35E0C" w14:textId="77777777" w:rsidR="006A5455" w:rsidRPr="00253B1B" w:rsidRDefault="006A5455" w:rsidP="003506D2">
      <w:pPr>
        <w:shd w:val="clear" w:color="auto" w:fill="FFFFFF"/>
        <w:spacing w:after="160" w:line="276" w:lineRule="auto"/>
        <w:ind w:left="5" w:right="11" w:firstLine="562"/>
        <w:jc w:val="both"/>
        <w:rPr>
          <w:color w:val="FF0000"/>
          <w:sz w:val="22"/>
          <w:szCs w:val="22"/>
        </w:rPr>
      </w:pPr>
      <w:r w:rsidRPr="00253B1B">
        <w:rPr>
          <w:sz w:val="22"/>
          <w:szCs w:val="22"/>
        </w:rPr>
        <w:t>Οι κρατικές επιχορηγήσεις που λαμβάνονται για απόκτηση πάγιων στοιχείων καταχωρίζονται ως αναβαλλόμενα έσοδα (έσοδα επόμενων περιόδων) και μεταφέρονται τμηματικά στα αποτελέσματα ως έσοδα κατ' αναλογία των αποσβέσεων των πάγιων στοιχείων για τα οποία ελήφθησαν, ενώ αυτές που λαμβάνονται για κάλυψη εξόδων καταχωρίζονται στα αποτελέσματα ως έσοδα στην ίδια περίοδο που καταχωρίζονται και τα αντίστοιχα έξοδα.</w:t>
      </w:r>
      <w:r w:rsidR="009532FB" w:rsidRPr="00253B1B">
        <w:rPr>
          <w:sz w:val="22"/>
          <w:szCs w:val="22"/>
        </w:rPr>
        <w:t xml:space="preserve"> </w:t>
      </w:r>
    </w:p>
    <w:p w14:paraId="6ECBCB13" w14:textId="77777777" w:rsidR="00FF2F42" w:rsidRPr="00253B1B" w:rsidRDefault="009E45E8" w:rsidP="003506D2">
      <w:pPr>
        <w:shd w:val="clear" w:color="auto" w:fill="FFFFFF"/>
        <w:spacing w:after="160" w:line="276" w:lineRule="auto"/>
        <w:ind w:left="5" w:right="11" w:hanging="5"/>
        <w:jc w:val="both"/>
        <w:rPr>
          <w:b/>
          <w:sz w:val="22"/>
          <w:szCs w:val="22"/>
        </w:rPr>
      </w:pPr>
      <w:r w:rsidRPr="00253B1B">
        <w:rPr>
          <w:b/>
          <w:sz w:val="22"/>
          <w:szCs w:val="22"/>
        </w:rPr>
        <w:t>3.1.11</w:t>
      </w:r>
      <w:r w:rsidR="00FF2F42" w:rsidRPr="00253B1B">
        <w:rPr>
          <w:b/>
          <w:sz w:val="22"/>
          <w:szCs w:val="22"/>
        </w:rPr>
        <w:t>. Έσοδα και έξοδα</w:t>
      </w:r>
    </w:p>
    <w:p w14:paraId="1B3A7F9B" w14:textId="77777777" w:rsidR="00722933" w:rsidRPr="00253B1B" w:rsidRDefault="00722933" w:rsidP="003506D2">
      <w:pPr>
        <w:shd w:val="clear" w:color="auto" w:fill="FFFFFF"/>
        <w:spacing w:after="160" w:line="276" w:lineRule="auto"/>
        <w:ind w:left="5" w:right="11" w:firstLine="562"/>
        <w:jc w:val="both"/>
        <w:rPr>
          <w:sz w:val="22"/>
          <w:szCs w:val="22"/>
        </w:rPr>
      </w:pPr>
      <w:bookmarkStart w:id="25" w:name="_Toc404864539"/>
      <w:r w:rsidRPr="00253B1B">
        <w:rPr>
          <w:sz w:val="22"/>
          <w:szCs w:val="22"/>
        </w:rPr>
        <w:t xml:space="preserve">Η εταιρεία καταχωρίζει τα έσοδα και τα έξοδα, όταν αυτά καθίστανται δουλευμένα. </w:t>
      </w:r>
    </w:p>
    <w:p w14:paraId="2E3E1FC5" w14:textId="77777777" w:rsidR="00722933" w:rsidRPr="00253B1B" w:rsidRDefault="00722933" w:rsidP="003506D2">
      <w:pPr>
        <w:shd w:val="clear" w:color="auto" w:fill="FFFFFF"/>
        <w:spacing w:after="160" w:line="276" w:lineRule="auto"/>
        <w:ind w:left="5" w:right="11" w:firstLine="562"/>
        <w:jc w:val="both"/>
        <w:rPr>
          <w:sz w:val="22"/>
          <w:szCs w:val="22"/>
        </w:rPr>
      </w:pPr>
      <w:r w:rsidRPr="00253B1B">
        <w:rPr>
          <w:sz w:val="22"/>
          <w:szCs w:val="22"/>
        </w:rPr>
        <w:t>Ειδικότερα:</w:t>
      </w:r>
    </w:p>
    <w:p w14:paraId="2055A6D4" w14:textId="77777777" w:rsidR="00722933" w:rsidRPr="00253B1B" w:rsidRDefault="00722933" w:rsidP="003506D2">
      <w:pPr>
        <w:numPr>
          <w:ilvl w:val="0"/>
          <w:numId w:val="4"/>
        </w:numPr>
        <w:shd w:val="clear" w:color="auto" w:fill="FFFFFF"/>
        <w:spacing w:after="160" w:line="276" w:lineRule="auto"/>
        <w:ind w:left="993" w:right="11" w:hanging="426"/>
        <w:jc w:val="both"/>
        <w:rPr>
          <w:sz w:val="22"/>
          <w:szCs w:val="22"/>
        </w:rPr>
      </w:pPr>
      <w:r w:rsidRPr="00253B1B">
        <w:rPr>
          <w:sz w:val="22"/>
          <w:szCs w:val="22"/>
        </w:rPr>
        <w:t>Τα έσοδα από πώληση αγαθών καταχωρίζονται εντός της περιόδου στην οποία καθίστανται δουλευμένα και εφόσον πληρούνται όλες οι παρακάτω προϋποθέσεις:</w:t>
      </w:r>
    </w:p>
    <w:p w14:paraId="10EDD9D3" w14:textId="77777777" w:rsidR="00722933" w:rsidRPr="00253B1B" w:rsidRDefault="00722933" w:rsidP="003506D2">
      <w:pPr>
        <w:numPr>
          <w:ilvl w:val="0"/>
          <w:numId w:val="10"/>
        </w:numPr>
        <w:shd w:val="clear" w:color="auto" w:fill="FFFFFF"/>
        <w:spacing w:after="160" w:line="276" w:lineRule="auto"/>
        <w:ind w:left="1418" w:right="11" w:hanging="425"/>
        <w:jc w:val="both"/>
        <w:rPr>
          <w:sz w:val="22"/>
          <w:szCs w:val="22"/>
        </w:rPr>
      </w:pPr>
      <w:r w:rsidRPr="00253B1B">
        <w:rPr>
          <w:sz w:val="22"/>
          <w:szCs w:val="22"/>
        </w:rPr>
        <w:t>Μεταβιβάζονται στον αγοραστή οι ουσιαστικοί κίνδυνοι και τα οφέλη που συνδέονται με την κυριότητά τους.</w:t>
      </w:r>
    </w:p>
    <w:p w14:paraId="0FCA4015" w14:textId="77777777" w:rsidR="00722933" w:rsidRPr="00253B1B" w:rsidRDefault="00722933" w:rsidP="003506D2">
      <w:pPr>
        <w:numPr>
          <w:ilvl w:val="0"/>
          <w:numId w:val="10"/>
        </w:numPr>
        <w:shd w:val="clear" w:color="auto" w:fill="FFFFFF"/>
        <w:spacing w:after="160" w:line="276" w:lineRule="auto"/>
        <w:ind w:left="1418" w:right="11" w:hanging="425"/>
        <w:jc w:val="both"/>
        <w:rPr>
          <w:sz w:val="22"/>
          <w:szCs w:val="22"/>
        </w:rPr>
      </w:pPr>
      <w:r w:rsidRPr="00253B1B">
        <w:rPr>
          <w:sz w:val="22"/>
          <w:szCs w:val="22"/>
        </w:rPr>
        <w:t>Τα αγαθά γίνονται αποδεκτά από τον αγοραστή.</w:t>
      </w:r>
    </w:p>
    <w:p w14:paraId="5D092398" w14:textId="77777777" w:rsidR="00722933" w:rsidRPr="00253B1B" w:rsidRDefault="00722933" w:rsidP="003506D2">
      <w:pPr>
        <w:numPr>
          <w:ilvl w:val="0"/>
          <w:numId w:val="10"/>
        </w:numPr>
        <w:shd w:val="clear" w:color="auto" w:fill="FFFFFF"/>
        <w:spacing w:after="160" w:line="276" w:lineRule="auto"/>
        <w:ind w:left="1418" w:right="11" w:hanging="425"/>
        <w:jc w:val="both"/>
        <w:rPr>
          <w:sz w:val="22"/>
          <w:szCs w:val="22"/>
        </w:rPr>
      </w:pPr>
      <w:r w:rsidRPr="00253B1B">
        <w:rPr>
          <w:sz w:val="22"/>
          <w:szCs w:val="22"/>
        </w:rPr>
        <w:t>Τα οικονομικά οφέλη από τη συναλλαγή μπορούν να αποτιμηθούν αξιόπιστα και θεωρείται σφόδρα πιθανή η εισροή τους στην οντότητα.</w:t>
      </w:r>
    </w:p>
    <w:p w14:paraId="42A76060" w14:textId="77777777" w:rsidR="00722933" w:rsidRPr="00253B1B" w:rsidRDefault="00722933" w:rsidP="003506D2">
      <w:pPr>
        <w:numPr>
          <w:ilvl w:val="0"/>
          <w:numId w:val="5"/>
        </w:numPr>
        <w:shd w:val="clear" w:color="auto" w:fill="FFFFFF"/>
        <w:spacing w:after="160" w:line="276" w:lineRule="auto"/>
        <w:ind w:left="993" w:right="11" w:hanging="426"/>
        <w:jc w:val="both"/>
        <w:rPr>
          <w:sz w:val="22"/>
          <w:szCs w:val="22"/>
        </w:rPr>
      </w:pPr>
      <w:r w:rsidRPr="00253B1B">
        <w:rPr>
          <w:sz w:val="22"/>
          <w:szCs w:val="22"/>
        </w:rPr>
        <w:t>Τα έσοδα από παροχή υπηρεσιών και κατασκευαστικά συμβόλαια καταχωρίζονται με τη μέθοδο του ποσοστού ολοκληρώσεως.</w:t>
      </w:r>
    </w:p>
    <w:p w14:paraId="2A291AC4" w14:textId="77777777" w:rsidR="00722933" w:rsidRPr="00253B1B" w:rsidRDefault="00722933" w:rsidP="003506D2">
      <w:pPr>
        <w:numPr>
          <w:ilvl w:val="0"/>
          <w:numId w:val="5"/>
        </w:numPr>
        <w:shd w:val="clear" w:color="auto" w:fill="FFFFFF"/>
        <w:spacing w:after="160" w:line="276" w:lineRule="auto"/>
        <w:ind w:left="993" w:right="11" w:hanging="426"/>
        <w:jc w:val="both"/>
        <w:rPr>
          <w:sz w:val="22"/>
          <w:szCs w:val="22"/>
        </w:rPr>
      </w:pPr>
      <w:r w:rsidRPr="00253B1B">
        <w:rPr>
          <w:sz w:val="22"/>
          <w:szCs w:val="22"/>
        </w:rPr>
        <w:t>Τα έσοδα που προέρχονται από τη χρήση περιουσιακών στοιχείων της οντότητας από τρίτους καταχωρίζονται ως εξής:</w:t>
      </w:r>
    </w:p>
    <w:p w14:paraId="05F4AD85" w14:textId="77777777" w:rsidR="00722933" w:rsidRPr="00253B1B" w:rsidRDefault="006876B2" w:rsidP="003506D2">
      <w:pPr>
        <w:numPr>
          <w:ilvl w:val="0"/>
          <w:numId w:val="10"/>
        </w:numPr>
        <w:shd w:val="clear" w:color="auto" w:fill="FFFFFF"/>
        <w:spacing w:after="160" w:line="276" w:lineRule="auto"/>
        <w:ind w:left="1418" w:right="11" w:hanging="425"/>
        <w:jc w:val="both"/>
        <w:rPr>
          <w:sz w:val="22"/>
          <w:szCs w:val="22"/>
        </w:rPr>
      </w:pPr>
      <w:r w:rsidRPr="00253B1B">
        <w:rPr>
          <w:sz w:val="22"/>
          <w:szCs w:val="22"/>
        </w:rPr>
        <w:t>Οι</w:t>
      </w:r>
      <w:r w:rsidR="00722933" w:rsidRPr="00253B1B">
        <w:rPr>
          <w:sz w:val="22"/>
          <w:szCs w:val="22"/>
        </w:rPr>
        <w:t xml:space="preserve"> τόκοι βάσει χρονικής αναλογίας με τη σταθερή μέθοδο. </w:t>
      </w:r>
    </w:p>
    <w:p w14:paraId="16B17267" w14:textId="77777777" w:rsidR="00722933" w:rsidRPr="00253B1B" w:rsidRDefault="00722933" w:rsidP="003506D2">
      <w:pPr>
        <w:numPr>
          <w:ilvl w:val="0"/>
          <w:numId w:val="10"/>
        </w:numPr>
        <w:shd w:val="clear" w:color="auto" w:fill="FFFFFF"/>
        <w:spacing w:after="160" w:line="276" w:lineRule="auto"/>
        <w:ind w:left="1418" w:right="11" w:hanging="425"/>
        <w:jc w:val="both"/>
        <w:rPr>
          <w:sz w:val="22"/>
          <w:szCs w:val="22"/>
        </w:rPr>
      </w:pPr>
      <w:r w:rsidRPr="00253B1B">
        <w:rPr>
          <w:sz w:val="22"/>
          <w:szCs w:val="22"/>
        </w:rPr>
        <w:t>Τα μερίσματα ή παρόμοιας φύσεως εισόδημα από τη συμμετοχή στην καθαρή θέση άλλων οντοτήτων όταν εγκρίνονται από το αρμόδιο όργανο που αποφασίζει τη διανομή τους.</w:t>
      </w:r>
    </w:p>
    <w:p w14:paraId="307E9DE7" w14:textId="77777777" w:rsidR="00722933" w:rsidRPr="00253B1B" w:rsidRDefault="00722933" w:rsidP="003506D2">
      <w:pPr>
        <w:numPr>
          <w:ilvl w:val="0"/>
          <w:numId w:val="10"/>
        </w:numPr>
        <w:shd w:val="clear" w:color="auto" w:fill="FFFFFF"/>
        <w:spacing w:after="160" w:line="276" w:lineRule="auto"/>
        <w:ind w:left="1418" w:right="11" w:hanging="425"/>
        <w:jc w:val="both"/>
        <w:rPr>
          <w:sz w:val="22"/>
          <w:szCs w:val="22"/>
        </w:rPr>
      </w:pPr>
      <w:r w:rsidRPr="00253B1B">
        <w:rPr>
          <w:sz w:val="22"/>
          <w:szCs w:val="22"/>
        </w:rPr>
        <w:t xml:space="preserve"> Τα δικαιώματα βάσει των σχετικών συμβατικών όρων.</w:t>
      </w:r>
    </w:p>
    <w:p w14:paraId="047C8183" w14:textId="77777777" w:rsidR="009E45E8" w:rsidRPr="00253B1B" w:rsidRDefault="009E45E8" w:rsidP="003506D2">
      <w:pPr>
        <w:shd w:val="clear" w:color="auto" w:fill="FFFFFF"/>
        <w:spacing w:after="160" w:line="276" w:lineRule="auto"/>
        <w:ind w:left="5" w:right="14" w:hanging="5"/>
        <w:jc w:val="both"/>
        <w:rPr>
          <w:b/>
          <w:sz w:val="22"/>
          <w:szCs w:val="22"/>
        </w:rPr>
      </w:pPr>
      <w:r w:rsidRPr="00253B1B">
        <w:rPr>
          <w:b/>
          <w:sz w:val="22"/>
          <w:szCs w:val="22"/>
        </w:rPr>
        <w:lastRenderedPageBreak/>
        <w:t>3.1.12. Στοιχεία της καθαρής θέσεως</w:t>
      </w:r>
      <w:bookmarkEnd w:id="25"/>
    </w:p>
    <w:p w14:paraId="378122DB" w14:textId="77777777" w:rsidR="009F1ECA" w:rsidRPr="00253B1B" w:rsidRDefault="009F1ECA" w:rsidP="003506D2">
      <w:pPr>
        <w:shd w:val="clear" w:color="auto" w:fill="FFFFFF"/>
        <w:spacing w:after="160" w:line="276" w:lineRule="auto"/>
        <w:ind w:left="5" w:right="14" w:firstLine="562"/>
        <w:jc w:val="both"/>
        <w:rPr>
          <w:sz w:val="22"/>
          <w:szCs w:val="22"/>
        </w:rPr>
      </w:pPr>
      <w:r w:rsidRPr="00253B1B">
        <w:rPr>
          <w:sz w:val="22"/>
          <w:szCs w:val="22"/>
        </w:rPr>
        <w:t>Τα κονδύλια της καθαρής θέσεως καταχωρίζονται αρχικά και αποτιμούνται μεταγενέστερα στα ονομαστικά ποσά, που έχουν ληφθεί ή καταβληθεί.</w:t>
      </w:r>
    </w:p>
    <w:p w14:paraId="70230219" w14:textId="77777777" w:rsidR="00402079" w:rsidRPr="00253B1B" w:rsidRDefault="00402079" w:rsidP="003506D2">
      <w:pPr>
        <w:shd w:val="clear" w:color="auto" w:fill="FFFFFF"/>
        <w:spacing w:after="160" w:line="276" w:lineRule="auto"/>
        <w:ind w:left="5" w:right="14" w:hanging="5"/>
        <w:jc w:val="both"/>
        <w:rPr>
          <w:b/>
          <w:sz w:val="22"/>
          <w:szCs w:val="22"/>
        </w:rPr>
      </w:pPr>
      <w:r w:rsidRPr="00253B1B">
        <w:rPr>
          <w:b/>
          <w:sz w:val="22"/>
          <w:szCs w:val="22"/>
        </w:rPr>
        <w:t xml:space="preserve">3.1.13. Ενδεχόμενα περιουσιακά στοιχεία και ενδεχόμενες υποχρεώσεις </w:t>
      </w:r>
    </w:p>
    <w:p w14:paraId="0A14716C" w14:textId="77777777" w:rsidR="009A71F1" w:rsidRPr="00253B1B" w:rsidRDefault="009A71F1" w:rsidP="003506D2">
      <w:pPr>
        <w:shd w:val="clear" w:color="auto" w:fill="FFFFFF"/>
        <w:spacing w:after="160" w:line="276" w:lineRule="auto"/>
        <w:ind w:left="5" w:right="14" w:firstLine="562"/>
        <w:jc w:val="both"/>
        <w:rPr>
          <w:sz w:val="22"/>
          <w:szCs w:val="22"/>
        </w:rPr>
      </w:pPr>
      <w:r w:rsidRPr="00253B1B">
        <w:rPr>
          <w:sz w:val="22"/>
          <w:szCs w:val="22"/>
        </w:rPr>
        <w:t>Τα στοιχεία αυτά αφορούν ενδεχόμενα δικαιώματα και δεσμεύσεις αντίστοιχα, τα οποία προκύπτουν από γεγονότα του παρελθόντος και η ύπαρξή τους θα επιβεβαιωθεί μόνο από το αν συμβούν ή δεν συμβούν ένα ή περισσότερα αβέβαια μελλοντικά γεγονότα, τα οποία δεν είναι πλήρως υπό τον έλεγχο της Εταιρείας. Τα στοιχεία αυτά γνωστοποιούνται στις σημειώσεις των χρηματοοικονομικών καταστάσεων.</w:t>
      </w:r>
    </w:p>
    <w:p w14:paraId="4D4FE4EC" w14:textId="77777777" w:rsidR="00402079" w:rsidRPr="00253B1B" w:rsidRDefault="00402079" w:rsidP="003506D2">
      <w:pPr>
        <w:shd w:val="clear" w:color="auto" w:fill="FFFFFF"/>
        <w:spacing w:after="200" w:line="276" w:lineRule="auto"/>
        <w:ind w:left="5" w:right="14" w:hanging="5"/>
        <w:jc w:val="both"/>
        <w:rPr>
          <w:b/>
          <w:sz w:val="22"/>
          <w:szCs w:val="22"/>
        </w:rPr>
      </w:pPr>
      <w:r w:rsidRPr="00253B1B">
        <w:rPr>
          <w:b/>
          <w:sz w:val="22"/>
          <w:szCs w:val="22"/>
        </w:rPr>
        <w:t>3.1.14. Γεγονότα μετά την ημερομηνία ισολογισμού</w:t>
      </w:r>
    </w:p>
    <w:p w14:paraId="0D0DFD6A" w14:textId="77777777" w:rsidR="000651AF" w:rsidRPr="00253B1B" w:rsidRDefault="000651AF" w:rsidP="003506D2">
      <w:pPr>
        <w:shd w:val="clear" w:color="auto" w:fill="FFFFFF"/>
        <w:spacing w:after="200" w:line="276" w:lineRule="auto"/>
        <w:ind w:left="5" w:right="14" w:firstLine="562"/>
        <w:jc w:val="both"/>
        <w:rPr>
          <w:sz w:val="22"/>
          <w:szCs w:val="22"/>
        </w:rPr>
      </w:pPr>
      <w:r w:rsidRPr="00253B1B">
        <w:rPr>
          <w:sz w:val="22"/>
          <w:szCs w:val="22"/>
        </w:rPr>
        <w:t xml:space="preserve">Οι αξίες των περιουσιακών στοιχείων και των υποχρεώσεων κατά την ημερομηνία του ισολογισμού, προσαρμόζονται, εάν υπάρχει αντικειμενική ένδειξη ότι διορθωτικά γεγονότα μετά την ημερομηνία αυτή επιβάλλουν προσαρμογές της αξίας τους. Οι προσαρμογές αυτές γίνονται για τέτοια γεγονότα, ως την ημερομηνία εγκρίσεως των οικονομικών καταστάσεων από το Διοικητικό Συμβούλιο. Τα μη διορθωτικά, μετά την ημερομηνία του ισολογισμού γεγονότα, γνωστοποιούνται εφόσον είναι σημαντικά, στις σημειώσεις των χρηματοοικονομικών καταστάσεων.  </w:t>
      </w:r>
    </w:p>
    <w:p w14:paraId="6CBF9084" w14:textId="77777777" w:rsidR="00402079" w:rsidRPr="00253B1B" w:rsidRDefault="00402079" w:rsidP="003506D2">
      <w:pPr>
        <w:shd w:val="clear" w:color="auto" w:fill="FFFFFF"/>
        <w:spacing w:after="200" w:line="276" w:lineRule="auto"/>
        <w:ind w:left="5" w:right="14" w:hanging="5"/>
        <w:jc w:val="both"/>
        <w:rPr>
          <w:b/>
          <w:sz w:val="22"/>
          <w:szCs w:val="22"/>
        </w:rPr>
      </w:pPr>
      <w:r w:rsidRPr="00253B1B">
        <w:rPr>
          <w:b/>
          <w:sz w:val="22"/>
          <w:szCs w:val="22"/>
        </w:rPr>
        <w:t>3.1.15. Σημαντικές λογιστικές εκτιμήσεις και παραδοχές</w:t>
      </w:r>
    </w:p>
    <w:p w14:paraId="0C17FCF6" w14:textId="77777777" w:rsidR="002419A0" w:rsidRPr="00253B1B" w:rsidRDefault="002419A0" w:rsidP="003506D2">
      <w:pPr>
        <w:shd w:val="clear" w:color="auto" w:fill="FFFFFF"/>
        <w:spacing w:after="200" w:line="276" w:lineRule="auto"/>
        <w:ind w:left="5" w:right="14" w:firstLine="562"/>
        <w:jc w:val="both"/>
        <w:rPr>
          <w:sz w:val="22"/>
          <w:szCs w:val="22"/>
        </w:rPr>
      </w:pPr>
      <w:r w:rsidRPr="00253B1B">
        <w:rPr>
          <w:sz w:val="22"/>
          <w:szCs w:val="22"/>
        </w:rPr>
        <w:t>Οι εκτιμήσεις και οι παραδοχές αξιολογούνται διαρκώς και βασίζονται στην ιστορική εμπειρία και σε άλλους παράγοντες, συμπεριλαμβανομένων αναμενόμενων μελλοντικών γεγονότων που, υπό τις παρούσες συνθήκες, αναμένεται να πραγματοποιηθούν.</w:t>
      </w:r>
    </w:p>
    <w:p w14:paraId="0F501727" w14:textId="77777777" w:rsidR="004730E8" w:rsidRPr="00253B1B" w:rsidRDefault="004730E8" w:rsidP="003506D2">
      <w:pPr>
        <w:shd w:val="clear" w:color="auto" w:fill="FFFFFF"/>
        <w:spacing w:after="200" w:line="276" w:lineRule="auto"/>
        <w:ind w:left="567" w:right="14" w:hanging="567"/>
        <w:jc w:val="both"/>
        <w:rPr>
          <w:b/>
          <w:sz w:val="8"/>
          <w:szCs w:val="22"/>
        </w:rPr>
      </w:pPr>
    </w:p>
    <w:p w14:paraId="0E94E5F9" w14:textId="77777777" w:rsidR="00FF2F42" w:rsidRPr="00253B1B" w:rsidRDefault="00FF2F42" w:rsidP="003506D2">
      <w:pPr>
        <w:shd w:val="clear" w:color="auto" w:fill="FFFFFF"/>
        <w:spacing w:after="200" w:line="276" w:lineRule="auto"/>
        <w:ind w:left="567" w:right="14" w:hanging="567"/>
        <w:jc w:val="both"/>
        <w:rPr>
          <w:b/>
          <w:sz w:val="22"/>
          <w:szCs w:val="22"/>
        </w:rPr>
      </w:pPr>
      <w:r w:rsidRPr="00253B1B">
        <w:rPr>
          <w:b/>
          <w:sz w:val="22"/>
          <w:szCs w:val="22"/>
        </w:rPr>
        <w:t>3.2. Μεταβολή λογιστικών αρχών και μεθόδων, μεταβολές λογιστικών εκτιμήσεων και διόρθωση σφαλμάτων προηγούμενων περιόδων</w:t>
      </w:r>
    </w:p>
    <w:p w14:paraId="01473AC8" w14:textId="77777777" w:rsidR="00FF2F42" w:rsidRPr="00253B1B" w:rsidRDefault="00FF2F42" w:rsidP="003506D2">
      <w:pPr>
        <w:shd w:val="clear" w:color="auto" w:fill="FFFFFF"/>
        <w:spacing w:after="200" w:line="276" w:lineRule="auto"/>
        <w:ind w:left="5" w:right="14" w:hanging="5"/>
        <w:jc w:val="both"/>
        <w:rPr>
          <w:b/>
          <w:sz w:val="22"/>
          <w:szCs w:val="22"/>
        </w:rPr>
      </w:pPr>
      <w:r w:rsidRPr="00253B1B">
        <w:rPr>
          <w:b/>
          <w:sz w:val="22"/>
          <w:szCs w:val="22"/>
        </w:rPr>
        <w:t>3.2.1. Μεταβολή λογιστικών αρχών και μεθόδων</w:t>
      </w:r>
    </w:p>
    <w:p w14:paraId="24A6BC69" w14:textId="77777777" w:rsidR="002419A0" w:rsidRPr="00253B1B" w:rsidRDefault="002419A0" w:rsidP="003506D2">
      <w:pPr>
        <w:shd w:val="clear" w:color="auto" w:fill="FFFFFF"/>
        <w:spacing w:after="200" w:line="276" w:lineRule="auto"/>
        <w:ind w:left="5" w:right="14" w:firstLine="562"/>
        <w:jc w:val="both"/>
        <w:rPr>
          <w:sz w:val="22"/>
          <w:szCs w:val="22"/>
        </w:rPr>
      </w:pPr>
      <w:r w:rsidRPr="00253B1B">
        <w:rPr>
          <w:sz w:val="22"/>
          <w:szCs w:val="22"/>
        </w:rPr>
        <w:t>Οι μεταβολές λογιστικών αρχών και μεθόδων, καταχωρίζονται με αναδρομική επαναδιατύπωση των χρηματοοικονομικών καταστάσεων όλων των περιόδων που δημοσιοποιούνται μαζί με τις καταστάσεις της τρέχουσας περιόδου, ώστε τα παρουσιαζόμενα κονδύλια να είναι συγκρίσιμα.</w:t>
      </w:r>
    </w:p>
    <w:p w14:paraId="2B96D300" w14:textId="77777777" w:rsidR="002419A0" w:rsidRPr="00253B1B" w:rsidRDefault="002419A0" w:rsidP="003506D2">
      <w:pPr>
        <w:shd w:val="clear" w:color="auto" w:fill="FFFFFF"/>
        <w:spacing w:after="200" w:line="276" w:lineRule="auto"/>
        <w:ind w:left="5" w:right="14" w:firstLine="562"/>
        <w:jc w:val="both"/>
        <w:rPr>
          <w:sz w:val="22"/>
          <w:szCs w:val="22"/>
        </w:rPr>
      </w:pPr>
      <w:r w:rsidRPr="00253B1B">
        <w:rPr>
          <w:sz w:val="22"/>
          <w:szCs w:val="22"/>
        </w:rPr>
        <w:t>Στην παρούσα περίοδο δεν προέκυψε ανάγκη τέτοιας μεταβολής.</w:t>
      </w:r>
    </w:p>
    <w:p w14:paraId="54297796" w14:textId="77777777" w:rsidR="00FF2F42" w:rsidRPr="00253B1B" w:rsidRDefault="00FF2F42" w:rsidP="003506D2">
      <w:pPr>
        <w:shd w:val="clear" w:color="auto" w:fill="FFFFFF"/>
        <w:spacing w:after="120" w:line="276" w:lineRule="auto"/>
        <w:ind w:left="5" w:right="14" w:hanging="5"/>
        <w:rPr>
          <w:b/>
          <w:sz w:val="22"/>
          <w:szCs w:val="22"/>
        </w:rPr>
      </w:pPr>
      <w:r w:rsidRPr="00253B1B">
        <w:rPr>
          <w:b/>
          <w:sz w:val="22"/>
          <w:szCs w:val="22"/>
        </w:rPr>
        <w:t>3.2.2 Μεταβολές λογιστικών εκτιμήσεων</w:t>
      </w:r>
    </w:p>
    <w:p w14:paraId="55DD89C0" w14:textId="77777777" w:rsidR="005018E8" w:rsidRPr="00253B1B" w:rsidRDefault="005018E8" w:rsidP="003506D2">
      <w:pPr>
        <w:shd w:val="clear" w:color="auto" w:fill="FFFFFF"/>
        <w:spacing w:after="120" w:line="276" w:lineRule="auto"/>
        <w:ind w:left="5" w:right="14" w:firstLine="562"/>
        <w:jc w:val="both"/>
        <w:rPr>
          <w:sz w:val="22"/>
          <w:szCs w:val="22"/>
        </w:rPr>
      </w:pPr>
      <w:r w:rsidRPr="00253B1B">
        <w:rPr>
          <w:sz w:val="22"/>
          <w:szCs w:val="22"/>
        </w:rPr>
        <w:t>Οι μεταβολές των λογιστικών εκτιμήσεων καταχωρίζονται στην περίοδο, στην οποία διαπιστώνεται ότι προκύπτουν και επηρεάζουν αυτή την περίοδο και μελλοντικές περιόδους, κατά περίπτωση. Οι μεταβολές αυτές δεν καταχωρίζονται αναδρομικά.</w:t>
      </w:r>
    </w:p>
    <w:p w14:paraId="2EFA5B39" w14:textId="77777777" w:rsidR="00FF2F42" w:rsidRPr="00253B1B" w:rsidRDefault="00FF2F42" w:rsidP="003506D2">
      <w:pPr>
        <w:shd w:val="clear" w:color="auto" w:fill="FFFFFF"/>
        <w:spacing w:after="120" w:line="276" w:lineRule="auto"/>
        <w:ind w:left="5" w:right="14" w:hanging="5"/>
        <w:rPr>
          <w:b/>
          <w:sz w:val="22"/>
          <w:szCs w:val="22"/>
        </w:rPr>
      </w:pPr>
      <w:r w:rsidRPr="00253B1B">
        <w:rPr>
          <w:b/>
          <w:sz w:val="22"/>
          <w:szCs w:val="22"/>
        </w:rPr>
        <w:t>3.2.3. Διόρθωση σφαλμάτων προηγούμενων περιόδων</w:t>
      </w:r>
    </w:p>
    <w:p w14:paraId="558A76B1" w14:textId="77777777" w:rsidR="0080505C" w:rsidRPr="00253B1B" w:rsidRDefault="0080505C" w:rsidP="003506D2">
      <w:pPr>
        <w:shd w:val="clear" w:color="auto" w:fill="FFFFFF"/>
        <w:spacing w:after="120" w:line="276" w:lineRule="auto"/>
        <w:ind w:left="5" w:right="14" w:firstLine="562"/>
        <w:jc w:val="both"/>
        <w:rPr>
          <w:sz w:val="22"/>
          <w:szCs w:val="22"/>
        </w:rPr>
      </w:pPr>
      <w:r w:rsidRPr="00253B1B">
        <w:rPr>
          <w:sz w:val="22"/>
          <w:szCs w:val="22"/>
        </w:rPr>
        <w:t xml:space="preserve">Οι διορθώσεις σφαλμάτων καταχωρίζονται με την αναδρομική διόρθωση των χρηματοοικονομικών καταστάσεων όλων των περιόδων που δημοσιοποιούνται μαζί με τις καταστάσεις της τρέχουσας περιόδου. </w:t>
      </w:r>
    </w:p>
    <w:p w14:paraId="3BF84E1A" w14:textId="77777777" w:rsidR="0080505C" w:rsidRPr="00253B1B" w:rsidRDefault="0080505C" w:rsidP="003506D2">
      <w:pPr>
        <w:shd w:val="clear" w:color="auto" w:fill="FFFFFF"/>
        <w:spacing w:after="120" w:line="276" w:lineRule="auto"/>
        <w:ind w:left="5" w:right="14" w:firstLine="562"/>
        <w:jc w:val="both"/>
        <w:rPr>
          <w:sz w:val="22"/>
          <w:szCs w:val="22"/>
        </w:rPr>
      </w:pPr>
      <w:r w:rsidRPr="00253B1B">
        <w:rPr>
          <w:sz w:val="22"/>
          <w:szCs w:val="22"/>
        </w:rPr>
        <w:t>Στην παρούσα περίοδο δεν εντοπίστηκε σφάλμα προηγούμενης περιόδου.</w:t>
      </w:r>
    </w:p>
    <w:p w14:paraId="3FD90134" w14:textId="77777777" w:rsidR="00ED1BD1" w:rsidRPr="00253B1B" w:rsidRDefault="00FF2F42" w:rsidP="003506D2">
      <w:pPr>
        <w:pStyle w:val="1"/>
        <w:spacing w:after="120" w:line="276" w:lineRule="auto"/>
        <w:jc w:val="left"/>
      </w:pPr>
      <w:bookmarkStart w:id="26" w:name="_Toc488058536"/>
      <w:bookmarkStart w:id="27" w:name="_Toc15545997"/>
      <w:r w:rsidRPr="00253B1B">
        <w:lastRenderedPageBreak/>
        <w:t>4. Π</w:t>
      </w:r>
      <w:r w:rsidR="00B0095A" w:rsidRPr="00253B1B">
        <w:t>αρεκκλίσεις από τις διατάξεις του νόμου</w:t>
      </w:r>
      <w:r w:rsidR="00ED1BD1" w:rsidRPr="00253B1B">
        <w:t xml:space="preserve"> προκειμένου να επιτευχθεί εύλογη παρουσίαση των χρηματοοικονομικών καταστάσεων</w:t>
      </w:r>
      <w:bookmarkEnd w:id="26"/>
      <w:bookmarkEnd w:id="27"/>
    </w:p>
    <w:p w14:paraId="031005DB" w14:textId="77777777" w:rsidR="001E3148" w:rsidRDefault="001E3148" w:rsidP="003506D2">
      <w:pPr>
        <w:shd w:val="clear" w:color="auto" w:fill="FFFFFF"/>
        <w:spacing w:after="120" w:line="276" w:lineRule="auto"/>
        <w:ind w:left="5" w:right="14" w:firstLine="562"/>
        <w:jc w:val="both"/>
        <w:rPr>
          <w:sz w:val="22"/>
          <w:szCs w:val="22"/>
        </w:rPr>
      </w:pPr>
      <w:r w:rsidRPr="00253B1B">
        <w:rPr>
          <w:sz w:val="22"/>
          <w:szCs w:val="22"/>
        </w:rPr>
        <w:t>Στην παρούσα περίοδο δεν προέκυψε ανάγκη τέτοιας παρεκκλίσεως.</w:t>
      </w:r>
    </w:p>
    <w:p w14:paraId="18BD4D7F" w14:textId="77777777" w:rsidR="003506D2" w:rsidRPr="00253B1B" w:rsidRDefault="003506D2" w:rsidP="003506D2">
      <w:pPr>
        <w:shd w:val="clear" w:color="auto" w:fill="FFFFFF"/>
        <w:spacing w:line="276" w:lineRule="auto"/>
        <w:ind w:left="6" w:right="11" w:firstLine="561"/>
        <w:jc w:val="both"/>
        <w:rPr>
          <w:sz w:val="22"/>
          <w:szCs w:val="22"/>
        </w:rPr>
      </w:pPr>
    </w:p>
    <w:p w14:paraId="3152B7B0" w14:textId="77777777" w:rsidR="006C47D8" w:rsidRPr="00253B1B" w:rsidRDefault="00FF2F42" w:rsidP="003506D2">
      <w:pPr>
        <w:pStyle w:val="1"/>
        <w:spacing w:after="120" w:line="276" w:lineRule="auto"/>
        <w:jc w:val="left"/>
        <w:rPr>
          <w:b w:val="0"/>
          <w:sz w:val="22"/>
          <w:szCs w:val="22"/>
        </w:rPr>
      </w:pPr>
      <w:bookmarkStart w:id="28" w:name="_Toc488058537"/>
      <w:bookmarkStart w:id="29" w:name="_Toc15545998"/>
      <w:r w:rsidRPr="00253B1B">
        <w:t>5. Σ</w:t>
      </w:r>
      <w:r w:rsidR="00ED1BD1" w:rsidRPr="00253B1B">
        <w:t>χέσεις ενός περιουσιακού στοιχείου ή μιας υποχρεώσεως με περισσότερα από ένα κονδύλια</w:t>
      </w:r>
      <w:bookmarkEnd w:id="28"/>
      <w:bookmarkEnd w:id="29"/>
      <w:r w:rsidR="00ED1BD1" w:rsidRPr="00253B1B">
        <w:t xml:space="preserve"> </w:t>
      </w:r>
    </w:p>
    <w:p w14:paraId="4D5DAE68" w14:textId="77777777" w:rsidR="00FF2F42" w:rsidRDefault="005E4998" w:rsidP="003506D2">
      <w:pPr>
        <w:shd w:val="clear" w:color="auto" w:fill="FFFFFF"/>
        <w:spacing w:after="120" w:line="276" w:lineRule="auto"/>
        <w:ind w:left="5" w:right="14" w:firstLine="562"/>
        <w:jc w:val="both"/>
        <w:rPr>
          <w:sz w:val="22"/>
          <w:szCs w:val="22"/>
        </w:rPr>
      </w:pPr>
      <w:r w:rsidRPr="00253B1B">
        <w:rPr>
          <w:sz w:val="22"/>
          <w:szCs w:val="22"/>
        </w:rPr>
        <w:t>Δεν υπάρχουν σχέσεις με περισσότερα από ένα κονδύλια.</w:t>
      </w:r>
    </w:p>
    <w:p w14:paraId="1DF8B2F6" w14:textId="77777777" w:rsidR="00ED1BD1" w:rsidRPr="001A1E85" w:rsidRDefault="00FF2F42" w:rsidP="003506D2">
      <w:pPr>
        <w:pStyle w:val="1"/>
        <w:spacing w:line="276" w:lineRule="auto"/>
        <w:jc w:val="left"/>
      </w:pPr>
      <w:bookmarkStart w:id="30" w:name="_Toc488058538"/>
      <w:bookmarkStart w:id="31" w:name="_Toc15545999"/>
      <w:r w:rsidRPr="001A1E85">
        <w:t>6. Π</w:t>
      </w:r>
      <w:r w:rsidR="00ED1BD1" w:rsidRPr="001A1E85">
        <w:t>ληροφορίες σχετικά με ενσώματα και άυλα πάγια περιουσιακά στοιχεί</w:t>
      </w:r>
      <w:r w:rsidR="006C47D8" w:rsidRPr="001A1E85">
        <w:t>α</w:t>
      </w:r>
      <w:bookmarkEnd w:id="30"/>
      <w:bookmarkEnd w:id="31"/>
    </w:p>
    <w:p w14:paraId="68F63F69" w14:textId="77777777" w:rsidR="00253B1B" w:rsidRPr="001A1E85" w:rsidRDefault="00253B1B" w:rsidP="003506D2">
      <w:pPr>
        <w:spacing w:line="276" w:lineRule="auto"/>
        <w:rPr>
          <w:lang w:val="x-none" w:eastAsia="en-US"/>
        </w:rPr>
      </w:pPr>
    </w:p>
    <w:p w14:paraId="49EB9A40" w14:textId="77777777" w:rsidR="006C47D8" w:rsidRPr="001A1E85" w:rsidRDefault="006C47D8" w:rsidP="003506D2">
      <w:pPr>
        <w:shd w:val="clear" w:color="auto" w:fill="FFFFFF"/>
        <w:spacing w:after="200" w:line="276" w:lineRule="auto"/>
        <w:ind w:left="284" w:right="14" w:hanging="284"/>
        <w:rPr>
          <w:b/>
          <w:sz w:val="22"/>
          <w:szCs w:val="22"/>
        </w:rPr>
      </w:pPr>
      <w:r w:rsidRPr="001A1E85">
        <w:rPr>
          <w:b/>
          <w:sz w:val="22"/>
          <w:szCs w:val="22"/>
        </w:rPr>
        <w:t>6.</w:t>
      </w:r>
      <w:r w:rsidR="00751887" w:rsidRPr="001A1E85">
        <w:rPr>
          <w:b/>
          <w:sz w:val="22"/>
          <w:szCs w:val="22"/>
        </w:rPr>
        <w:t>1</w:t>
      </w:r>
      <w:r w:rsidRPr="001A1E85">
        <w:rPr>
          <w:b/>
          <w:sz w:val="22"/>
          <w:szCs w:val="22"/>
        </w:rPr>
        <w:t xml:space="preserve">. </w:t>
      </w:r>
      <w:r w:rsidR="00515793" w:rsidRPr="001A1E85">
        <w:rPr>
          <w:b/>
          <w:sz w:val="22"/>
          <w:szCs w:val="22"/>
        </w:rPr>
        <w:t xml:space="preserve">Ιδιοχρησιμοποιούμενα </w:t>
      </w:r>
      <w:r w:rsidRPr="001A1E85">
        <w:rPr>
          <w:b/>
          <w:sz w:val="22"/>
          <w:szCs w:val="22"/>
        </w:rPr>
        <w:t>ενσώματα πάγια περιουσιακά στοιχεία</w:t>
      </w:r>
    </w:p>
    <w:p w14:paraId="6E8973CC" w14:textId="77777777" w:rsidR="00EE5D1B" w:rsidRDefault="00EE5D1B" w:rsidP="003506D2">
      <w:pPr>
        <w:shd w:val="clear" w:color="auto" w:fill="FFFFFF"/>
        <w:spacing w:line="276" w:lineRule="auto"/>
        <w:ind w:left="284" w:right="11" w:hanging="284"/>
        <w:rPr>
          <w:b/>
          <w:sz w:val="22"/>
          <w:szCs w:val="22"/>
          <w:highlight w:val="yellow"/>
        </w:rPr>
      </w:pPr>
    </w:p>
    <w:tbl>
      <w:tblPr>
        <w:tblW w:w="5000" w:type="pct"/>
        <w:tblLook w:val="04A0" w:firstRow="1" w:lastRow="0" w:firstColumn="1" w:lastColumn="0" w:noHBand="0" w:noVBand="1"/>
      </w:tblPr>
      <w:tblGrid>
        <w:gridCol w:w="5053"/>
        <w:gridCol w:w="2526"/>
        <w:gridCol w:w="2143"/>
      </w:tblGrid>
      <w:tr w:rsidR="00250935" w14:paraId="701E7AA6" w14:textId="77777777" w:rsidTr="00250935">
        <w:trPr>
          <w:trHeight w:val="936"/>
        </w:trPr>
        <w:tc>
          <w:tcPr>
            <w:tcW w:w="2599" w:type="pct"/>
            <w:tcBorders>
              <w:top w:val="single" w:sz="12" w:space="0" w:color="auto"/>
              <w:left w:val="single" w:sz="12" w:space="0" w:color="auto"/>
              <w:bottom w:val="single" w:sz="12" w:space="0" w:color="auto"/>
              <w:right w:val="single" w:sz="12" w:space="0" w:color="auto"/>
            </w:tcBorders>
            <w:shd w:val="clear" w:color="auto" w:fill="auto"/>
            <w:vAlign w:val="center"/>
            <w:hideMark/>
          </w:tcPr>
          <w:p w14:paraId="2A2C3E30" w14:textId="77777777" w:rsidR="00250935" w:rsidRDefault="00250935">
            <w:pPr>
              <w:rPr>
                <w:b/>
                <w:bCs/>
                <w:color w:val="000000"/>
                <w:sz w:val="22"/>
                <w:szCs w:val="22"/>
              </w:rPr>
            </w:pPr>
            <w:r>
              <w:rPr>
                <w:b/>
                <w:bCs/>
                <w:color w:val="000000"/>
                <w:sz w:val="22"/>
                <w:szCs w:val="22"/>
              </w:rPr>
              <w:t>Πίνακας μεταβολών ενσώματων πάγιων στοιχείων ιδιοχρησιμοποιούμενων</w:t>
            </w:r>
          </w:p>
        </w:tc>
        <w:tc>
          <w:tcPr>
            <w:tcW w:w="1299" w:type="pct"/>
            <w:tcBorders>
              <w:top w:val="single" w:sz="12" w:space="0" w:color="auto"/>
              <w:left w:val="nil"/>
              <w:bottom w:val="single" w:sz="12" w:space="0" w:color="auto"/>
              <w:right w:val="single" w:sz="12" w:space="0" w:color="auto"/>
            </w:tcBorders>
            <w:shd w:val="clear" w:color="auto" w:fill="auto"/>
            <w:vAlign w:val="center"/>
            <w:hideMark/>
          </w:tcPr>
          <w:p w14:paraId="7E5A929F" w14:textId="77777777" w:rsidR="00250935" w:rsidRDefault="00250935">
            <w:pPr>
              <w:jc w:val="center"/>
              <w:rPr>
                <w:b/>
                <w:bCs/>
                <w:color w:val="000000"/>
                <w:sz w:val="22"/>
                <w:szCs w:val="22"/>
              </w:rPr>
            </w:pPr>
            <w:r>
              <w:rPr>
                <w:b/>
                <w:bCs/>
                <w:color w:val="000000"/>
                <w:sz w:val="22"/>
                <w:szCs w:val="22"/>
              </w:rPr>
              <w:t>Μηχανολογικός εξοπλισμός</w:t>
            </w:r>
          </w:p>
        </w:tc>
        <w:tc>
          <w:tcPr>
            <w:tcW w:w="1102" w:type="pct"/>
            <w:tcBorders>
              <w:top w:val="single" w:sz="12" w:space="0" w:color="auto"/>
              <w:left w:val="nil"/>
              <w:bottom w:val="single" w:sz="12" w:space="0" w:color="auto"/>
              <w:right w:val="single" w:sz="12" w:space="0" w:color="auto"/>
            </w:tcBorders>
            <w:shd w:val="clear" w:color="auto" w:fill="auto"/>
            <w:vAlign w:val="center"/>
            <w:hideMark/>
          </w:tcPr>
          <w:p w14:paraId="73B7E022" w14:textId="77777777" w:rsidR="00250935" w:rsidRDefault="00250935">
            <w:pPr>
              <w:jc w:val="center"/>
              <w:rPr>
                <w:b/>
                <w:bCs/>
                <w:color w:val="000000"/>
                <w:sz w:val="22"/>
                <w:szCs w:val="22"/>
              </w:rPr>
            </w:pPr>
            <w:r>
              <w:rPr>
                <w:b/>
                <w:bCs/>
                <w:color w:val="000000"/>
                <w:sz w:val="22"/>
                <w:szCs w:val="22"/>
              </w:rPr>
              <w:t>Λοιπός εξοπλισμός</w:t>
            </w:r>
          </w:p>
        </w:tc>
      </w:tr>
      <w:tr w:rsidR="00250935" w14:paraId="3FA0250E" w14:textId="77777777" w:rsidTr="00250935">
        <w:trPr>
          <w:trHeight w:val="288"/>
        </w:trPr>
        <w:tc>
          <w:tcPr>
            <w:tcW w:w="2599" w:type="pct"/>
            <w:tcBorders>
              <w:top w:val="nil"/>
              <w:left w:val="single" w:sz="12" w:space="0" w:color="auto"/>
              <w:bottom w:val="nil"/>
              <w:right w:val="single" w:sz="12" w:space="0" w:color="auto"/>
            </w:tcBorders>
            <w:shd w:val="clear" w:color="auto" w:fill="auto"/>
            <w:vAlign w:val="center"/>
            <w:hideMark/>
          </w:tcPr>
          <w:p w14:paraId="5C542DB6" w14:textId="77777777" w:rsidR="00250935" w:rsidRDefault="00250935">
            <w:pPr>
              <w:rPr>
                <w:b/>
                <w:bCs/>
                <w:color w:val="000000"/>
                <w:sz w:val="22"/>
                <w:szCs w:val="22"/>
              </w:rPr>
            </w:pPr>
            <w:r>
              <w:rPr>
                <w:b/>
                <w:bCs/>
                <w:color w:val="000000"/>
                <w:sz w:val="22"/>
                <w:szCs w:val="22"/>
              </w:rPr>
              <w:t xml:space="preserve">Αξία κτήσεως </w:t>
            </w:r>
          </w:p>
        </w:tc>
        <w:tc>
          <w:tcPr>
            <w:tcW w:w="1299" w:type="pct"/>
            <w:tcBorders>
              <w:top w:val="nil"/>
              <w:left w:val="nil"/>
              <w:bottom w:val="nil"/>
              <w:right w:val="single" w:sz="12" w:space="0" w:color="auto"/>
            </w:tcBorders>
            <w:shd w:val="clear" w:color="auto" w:fill="auto"/>
            <w:vAlign w:val="center"/>
            <w:hideMark/>
          </w:tcPr>
          <w:p w14:paraId="246A7F41" w14:textId="77777777" w:rsidR="00250935" w:rsidRDefault="00250935">
            <w:pPr>
              <w:rPr>
                <w:color w:val="000000"/>
                <w:sz w:val="22"/>
                <w:szCs w:val="22"/>
              </w:rPr>
            </w:pPr>
            <w:r>
              <w:rPr>
                <w:color w:val="000000"/>
                <w:sz w:val="22"/>
                <w:szCs w:val="22"/>
              </w:rPr>
              <w:t> </w:t>
            </w:r>
          </w:p>
        </w:tc>
        <w:tc>
          <w:tcPr>
            <w:tcW w:w="1102" w:type="pct"/>
            <w:tcBorders>
              <w:top w:val="nil"/>
              <w:left w:val="nil"/>
              <w:bottom w:val="nil"/>
              <w:right w:val="single" w:sz="12" w:space="0" w:color="auto"/>
            </w:tcBorders>
            <w:shd w:val="clear" w:color="auto" w:fill="auto"/>
            <w:vAlign w:val="center"/>
            <w:hideMark/>
          </w:tcPr>
          <w:p w14:paraId="24A095D0" w14:textId="77777777" w:rsidR="00250935" w:rsidRDefault="00250935">
            <w:pPr>
              <w:rPr>
                <w:color w:val="000000"/>
                <w:sz w:val="22"/>
                <w:szCs w:val="22"/>
              </w:rPr>
            </w:pPr>
            <w:r>
              <w:rPr>
                <w:color w:val="000000"/>
                <w:sz w:val="22"/>
                <w:szCs w:val="22"/>
              </w:rPr>
              <w:t> </w:t>
            </w:r>
          </w:p>
        </w:tc>
      </w:tr>
      <w:tr w:rsidR="00250935" w14:paraId="329AD518" w14:textId="77777777" w:rsidTr="00250935">
        <w:trPr>
          <w:trHeight w:val="276"/>
        </w:trPr>
        <w:tc>
          <w:tcPr>
            <w:tcW w:w="2599" w:type="pct"/>
            <w:tcBorders>
              <w:top w:val="nil"/>
              <w:left w:val="single" w:sz="12" w:space="0" w:color="auto"/>
              <w:bottom w:val="nil"/>
              <w:right w:val="single" w:sz="12" w:space="0" w:color="auto"/>
            </w:tcBorders>
            <w:shd w:val="clear" w:color="auto" w:fill="auto"/>
            <w:vAlign w:val="center"/>
            <w:hideMark/>
          </w:tcPr>
          <w:p w14:paraId="7DBA516A" w14:textId="77777777" w:rsidR="00250935" w:rsidRDefault="00250935">
            <w:pPr>
              <w:rPr>
                <w:color w:val="000000"/>
                <w:sz w:val="22"/>
                <w:szCs w:val="22"/>
              </w:rPr>
            </w:pPr>
            <w:r>
              <w:rPr>
                <w:color w:val="000000"/>
                <w:sz w:val="22"/>
                <w:szCs w:val="22"/>
              </w:rPr>
              <w:t>Υπόλοιπο 1.1.2019</w:t>
            </w:r>
          </w:p>
        </w:tc>
        <w:tc>
          <w:tcPr>
            <w:tcW w:w="1299" w:type="pct"/>
            <w:tcBorders>
              <w:top w:val="nil"/>
              <w:left w:val="nil"/>
              <w:bottom w:val="nil"/>
              <w:right w:val="single" w:sz="12" w:space="0" w:color="auto"/>
            </w:tcBorders>
            <w:shd w:val="clear" w:color="auto" w:fill="auto"/>
            <w:vAlign w:val="center"/>
            <w:hideMark/>
          </w:tcPr>
          <w:p w14:paraId="6FD24CB6" w14:textId="77777777" w:rsidR="00250935" w:rsidRDefault="00250935">
            <w:pPr>
              <w:jc w:val="right"/>
              <w:rPr>
                <w:color w:val="000000"/>
                <w:sz w:val="22"/>
                <w:szCs w:val="22"/>
              </w:rPr>
            </w:pPr>
            <w:r>
              <w:rPr>
                <w:color w:val="000000"/>
                <w:sz w:val="22"/>
                <w:szCs w:val="22"/>
              </w:rPr>
              <w:t>815.563,99</w:t>
            </w:r>
          </w:p>
        </w:tc>
        <w:tc>
          <w:tcPr>
            <w:tcW w:w="1102" w:type="pct"/>
            <w:tcBorders>
              <w:top w:val="nil"/>
              <w:left w:val="nil"/>
              <w:bottom w:val="nil"/>
              <w:right w:val="single" w:sz="12" w:space="0" w:color="auto"/>
            </w:tcBorders>
            <w:shd w:val="clear" w:color="auto" w:fill="auto"/>
            <w:vAlign w:val="center"/>
            <w:hideMark/>
          </w:tcPr>
          <w:p w14:paraId="71D5D009" w14:textId="77777777" w:rsidR="00250935" w:rsidRDefault="00250935">
            <w:pPr>
              <w:jc w:val="right"/>
              <w:rPr>
                <w:color w:val="000000"/>
                <w:sz w:val="22"/>
                <w:szCs w:val="22"/>
              </w:rPr>
            </w:pPr>
            <w:r>
              <w:rPr>
                <w:color w:val="000000"/>
                <w:sz w:val="22"/>
                <w:szCs w:val="22"/>
              </w:rPr>
              <w:t>77.785,71</w:t>
            </w:r>
          </w:p>
        </w:tc>
      </w:tr>
      <w:tr w:rsidR="00250935" w14:paraId="00C9D510" w14:textId="77777777" w:rsidTr="00250935">
        <w:trPr>
          <w:trHeight w:val="288"/>
        </w:trPr>
        <w:tc>
          <w:tcPr>
            <w:tcW w:w="2599" w:type="pct"/>
            <w:tcBorders>
              <w:top w:val="nil"/>
              <w:left w:val="single" w:sz="12" w:space="0" w:color="auto"/>
              <w:bottom w:val="nil"/>
              <w:right w:val="single" w:sz="12" w:space="0" w:color="auto"/>
            </w:tcBorders>
            <w:shd w:val="clear" w:color="auto" w:fill="auto"/>
            <w:vAlign w:val="center"/>
            <w:hideMark/>
          </w:tcPr>
          <w:p w14:paraId="78EDBBE1" w14:textId="77777777" w:rsidR="00250935" w:rsidRDefault="00250935">
            <w:pPr>
              <w:rPr>
                <w:b/>
                <w:bCs/>
                <w:color w:val="000000"/>
                <w:sz w:val="22"/>
                <w:szCs w:val="22"/>
              </w:rPr>
            </w:pPr>
            <w:r>
              <w:rPr>
                <w:b/>
                <w:bCs/>
                <w:color w:val="000000"/>
                <w:sz w:val="22"/>
                <w:szCs w:val="22"/>
              </w:rPr>
              <w:t>Υπόλοιπο 31.12.2019</w:t>
            </w:r>
          </w:p>
        </w:tc>
        <w:tc>
          <w:tcPr>
            <w:tcW w:w="1299" w:type="pct"/>
            <w:tcBorders>
              <w:top w:val="nil"/>
              <w:left w:val="nil"/>
              <w:bottom w:val="double" w:sz="6" w:space="0" w:color="auto"/>
              <w:right w:val="single" w:sz="12" w:space="0" w:color="auto"/>
            </w:tcBorders>
            <w:shd w:val="clear" w:color="auto" w:fill="auto"/>
            <w:vAlign w:val="center"/>
            <w:hideMark/>
          </w:tcPr>
          <w:p w14:paraId="534D8F7D" w14:textId="77777777" w:rsidR="00250935" w:rsidRDefault="00250935">
            <w:pPr>
              <w:jc w:val="right"/>
              <w:rPr>
                <w:color w:val="000000"/>
                <w:sz w:val="22"/>
                <w:szCs w:val="22"/>
              </w:rPr>
            </w:pPr>
            <w:r>
              <w:rPr>
                <w:color w:val="000000"/>
                <w:sz w:val="22"/>
                <w:szCs w:val="22"/>
              </w:rPr>
              <w:t>815.563,99</w:t>
            </w:r>
          </w:p>
        </w:tc>
        <w:tc>
          <w:tcPr>
            <w:tcW w:w="1102" w:type="pct"/>
            <w:tcBorders>
              <w:top w:val="nil"/>
              <w:left w:val="nil"/>
              <w:bottom w:val="double" w:sz="6" w:space="0" w:color="auto"/>
              <w:right w:val="single" w:sz="12" w:space="0" w:color="auto"/>
            </w:tcBorders>
            <w:shd w:val="clear" w:color="auto" w:fill="auto"/>
            <w:vAlign w:val="center"/>
            <w:hideMark/>
          </w:tcPr>
          <w:p w14:paraId="618685DA" w14:textId="77777777" w:rsidR="00250935" w:rsidRDefault="00250935">
            <w:pPr>
              <w:jc w:val="right"/>
              <w:rPr>
                <w:color w:val="000000"/>
                <w:sz w:val="22"/>
                <w:szCs w:val="22"/>
              </w:rPr>
            </w:pPr>
            <w:r>
              <w:rPr>
                <w:color w:val="000000"/>
                <w:sz w:val="22"/>
                <w:szCs w:val="22"/>
              </w:rPr>
              <w:t>77.785,71</w:t>
            </w:r>
          </w:p>
        </w:tc>
      </w:tr>
      <w:tr w:rsidR="00250935" w14:paraId="43668776" w14:textId="77777777" w:rsidTr="00250935">
        <w:trPr>
          <w:trHeight w:val="564"/>
        </w:trPr>
        <w:tc>
          <w:tcPr>
            <w:tcW w:w="2599" w:type="pct"/>
            <w:tcBorders>
              <w:top w:val="nil"/>
              <w:left w:val="single" w:sz="12" w:space="0" w:color="auto"/>
              <w:bottom w:val="nil"/>
              <w:right w:val="single" w:sz="12" w:space="0" w:color="auto"/>
            </w:tcBorders>
            <w:shd w:val="clear" w:color="auto" w:fill="auto"/>
            <w:vAlign w:val="center"/>
            <w:hideMark/>
          </w:tcPr>
          <w:p w14:paraId="59FF8A9F" w14:textId="77777777" w:rsidR="00250935" w:rsidRDefault="00250935">
            <w:pPr>
              <w:rPr>
                <w:b/>
                <w:bCs/>
                <w:color w:val="000000"/>
                <w:sz w:val="22"/>
                <w:szCs w:val="22"/>
              </w:rPr>
            </w:pPr>
            <w:r>
              <w:rPr>
                <w:b/>
                <w:bCs/>
                <w:color w:val="000000"/>
                <w:sz w:val="22"/>
                <w:szCs w:val="22"/>
              </w:rPr>
              <w:t>Σωρευμένες αποσβέσεις και απομειώσεις</w:t>
            </w:r>
          </w:p>
        </w:tc>
        <w:tc>
          <w:tcPr>
            <w:tcW w:w="1299" w:type="pct"/>
            <w:tcBorders>
              <w:top w:val="nil"/>
              <w:left w:val="nil"/>
              <w:bottom w:val="nil"/>
              <w:right w:val="single" w:sz="12" w:space="0" w:color="auto"/>
            </w:tcBorders>
            <w:shd w:val="clear" w:color="auto" w:fill="auto"/>
            <w:vAlign w:val="center"/>
            <w:hideMark/>
          </w:tcPr>
          <w:p w14:paraId="3B75DE5D" w14:textId="77777777" w:rsidR="00250935" w:rsidRDefault="00250935">
            <w:pPr>
              <w:rPr>
                <w:color w:val="000000"/>
                <w:sz w:val="22"/>
                <w:szCs w:val="22"/>
              </w:rPr>
            </w:pPr>
            <w:r>
              <w:rPr>
                <w:color w:val="000000"/>
                <w:sz w:val="22"/>
                <w:szCs w:val="22"/>
              </w:rPr>
              <w:t> </w:t>
            </w:r>
          </w:p>
        </w:tc>
        <w:tc>
          <w:tcPr>
            <w:tcW w:w="1102" w:type="pct"/>
            <w:tcBorders>
              <w:top w:val="nil"/>
              <w:left w:val="nil"/>
              <w:bottom w:val="nil"/>
              <w:right w:val="single" w:sz="12" w:space="0" w:color="auto"/>
            </w:tcBorders>
            <w:shd w:val="clear" w:color="auto" w:fill="auto"/>
            <w:vAlign w:val="center"/>
            <w:hideMark/>
          </w:tcPr>
          <w:p w14:paraId="33E06A9B" w14:textId="77777777" w:rsidR="00250935" w:rsidRDefault="00250935">
            <w:pPr>
              <w:rPr>
                <w:color w:val="000000"/>
                <w:sz w:val="22"/>
                <w:szCs w:val="22"/>
              </w:rPr>
            </w:pPr>
            <w:r>
              <w:rPr>
                <w:color w:val="000000"/>
                <w:sz w:val="22"/>
                <w:szCs w:val="22"/>
              </w:rPr>
              <w:t> </w:t>
            </w:r>
          </w:p>
        </w:tc>
      </w:tr>
      <w:tr w:rsidR="00250935" w14:paraId="42194966" w14:textId="77777777" w:rsidTr="00250935">
        <w:trPr>
          <w:trHeight w:val="276"/>
        </w:trPr>
        <w:tc>
          <w:tcPr>
            <w:tcW w:w="2599" w:type="pct"/>
            <w:tcBorders>
              <w:top w:val="nil"/>
              <w:left w:val="single" w:sz="12" w:space="0" w:color="auto"/>
              <w:bottom w:val="nil"/>
              <w:right w:val="single" w:sz="12" w:space="0" w:color="auto"/>
            </w:tcBorders>
            <w:shd w:val="clear" w:color="auto" w:fill="auto"/>
            <w:vAlign w:val="center"/>
            <w:hideMark/>
          </w:tcPr>
          <w:p w14:paraId="4F679AD3" w14:textId="77777777" w:rsidR="00250935" w:rsidRDefault="00250935">
            <w:pPr>
              <w:rPr>
                <w:color w:val="000000"/>
                <w:sz w:val="22"/>
                <w:szCs w:val="22"/>
              </w:rPr>
            </w:pPr>
            <w:r>
              <w:rPr>
                <w:color w:val="000000"/>
                <w:sz w:val="22"/>
                <w:szCs w:val="22"/>
              </w:rPr>
              <w:t>Υπόλοιπο 1.1.2019</w:t>
            </w:r>
          </w:p>
        </w:tc>
        <w:tc>
          <w:tcPr>
            <w:tcW w:w="1299" w:type="pct"/>
            <w:tcBorders>
              <w:top w:val="nil"/>
              <w:left w:val="nil"/>
              <w:bottom w:val="nil"/>
              <w:right w:val="single" w:sz="12" w:space="0" w:color="auto"/>
            </w:tcBorders>
            <w:shd w:val="clear" w:color="auto" w:fill="auto"/>
            <w:vAlign w:val="center"/>
            <w:hideMark/>
          </w:tcPr>
          <w:p w14:paraId="54AB6C24" w14:textId="77777777" w:rsidR="00250935" w:rsidRDefault="00250935">
            <w:pPr>
              <w:jc w:val="right"/>
              <w:rPr>
                <w:color w:val="000000"/>
                <w:sz w:val="22"/>
                <w:szCs w:val="22"/>
              </w:rPr>
            </w:pPr>
            <w:r>
              <w:rPr>
                <w:color w:val="000000"/>
                <w:sz w:val="22"/>
                <w:szCs w:val="22"/>
              </w:rPr>
              <w:t>-810.861,53</w:t>
            </w:r>
          </w:p>
        </w:tc>
        <w:tc>
          <w:tcPr>
            <w:tcW w:w="1102" w:type="pct"/>
            <w:tcBorders>
              <w:top w:val="nil"/>
              <w:left w:val="nil"/>
              <w:bottom w:val="nil"/>
              <w:right w:val="single" w:sz="12" w:space="0" w:color="auto"/>
            </w:tcBorders>
            <w:shd w:val="clear" w:color="auto" w:fill="auto"/>
            <w:vAlign w:val="center"/>
            <w:hideMark/>
          </w:tcPr>
          <w:p w14:paraId="4F607299" w14:textId="77777777" w:rsidR="00250935" w:rsidRDefault="00250935">
            <w:pPr>
              <w:jc w:val="right"/>
              <w:rPr>
                <w:color w:val="000000"/>
                <w:sz w:val="22"/>
                <w:szCs w:val="22"/>
              </w:rPr>
            </w:pPr>
            <w:r>
              <w:rPr>
                <w:color w:val="000000"/>
                <w:sz w:val="22"/>
                <w:szCs w:val="22"/>
              </w:rPr>
              <w:t>-75.456,00</w:t>
            </w:r>
          </w:p>
        </w:tc>
      </w:tr>
      <w:tr w:rsidR="00250935" w14:paraId="065551F4" w14:textId="77777777" w:rsidTr="00250935">
        <w:trPr>
          <w:trHeight w:val="276"/>
        </w:trPr>
        <w:tc>
          <w:tcPr>
            <w:tcW w:w="2599" w:type="pct"/>
            <w:tcBorders>
              <w:top w:val="nil"/>
              <w:left w:val="single" w:sz="12" w:space="0" w:color="auto"/>
              <w:bottom w:val="nil"/>
              <w:right w:val="single" w:sz="12" w:space="0" w:color="auto"/>
            </w:tcBorders>
            <w:shd w:val="clear" w:color="auto" w:fill="auto"/>
            <w:vAlign w:val="center"/>
            <w:hideMark/>
          </w:tcPr>
          <w:p w14:paraId="5F21A485" w14:textId="77777777" w:rsidR="00250935" w:rsidRDefault="00250935">
            <w:pPr>
              <w:rPr>
                <w:color w:val="000000"/>
                <w:sz w:val="22"/>
                <w:szCs w:val="22"/>
              </w:rPr>
            </w:pPr>
            <w:r>
              <w:rPr>
                <w:color w:val="000000"/>
                <w:sz w:val="22"/>
                <w:szCs w:val="22"/>
              </w:rPr>
              <w:t>Αποσβέσεις περιόδου</w:t>
            </w:r>
          </w:p>
        </w:tc>
        <w:tc>
          <w:tcPr>
            <w:tcW w:w="1299" w:type="pct"/>
            <w:tcBorders>
              <w:top w:val="nil"/>
              <w:left w:val="nil"/>
              <w:bottom w:val="nil"/>
              <w:right w:val="single" w:sz="12" w:space="0" w:color="auto"/>
            </w:tcBorders>
            <w:shd w:val="clear" w:color="auto" w:fill="auto"/>
            <w:vAlign w:val="center"/>
            <w:hideMark/>
          </w:tcPr>
          <w:p w14:paraId="28B173AF" w14:textId="77777777" w:rsidR="00250935" w:rsidRDefault="00250935">
            <w:pPr>
              <w:jc w:val="right"/>
              <w:rPr>
                <w:color w:val="000000"/>
                <w:sz w:val="22"/>
                <w:szCs w:val="22"/>
              </w:rPr>
            </w:pPr>
            <w:r>
              <w:rPr>
                <w:color w:val="000000"/>
                <w:sz w:val="22"/>
                <w:szCs w:val="22"/>
              </w:rPr>
              <w:t>-803,06</w:t>
            </w:r>
          </w:p>
        </w:tc>
        <w:tc>
          <w:tcPr>
            <w:tcW w:w="1102" w:type="pct"/>
            <w:tcBorders>
              <w:top w:val="nil"/>
              <w:left w:val="nil"/>
              <w:bottom w:val="nil"/>
              <w:right w:val="single" w:sz="12" w:space="0" w:color="auto"/>
            </w:tcBorders>
            <w:shd w:val="clear" w:color="auto" w:fill="auto"/>
            <w:vAlign w:val="center"/>
            <w:hideMark/>
          </w:tcPr>
          <w:p w14:paraId="3AAFD398" w14:textId="77777777" w:rsidR="00250935" w:rsidRDefault="00250935">
            <w:pPr>
              <w:jc w:val="right"/>
              <w:rPr>
                <w:color w:val="000000"/>
                <w:sz w:val="22"/>
                <w:szCs w:val="22"/>
              </w:rPr>
            </w:pPr>
            <w:r>
              <w:rPr>
                <w:color w:val="000000"/>
                <w:sz w:val="22"/>
                <w:szCs w:val="22"/>
              </w:rPr>
              <w:t>-1.526,92</w:t>
            </w:r>
          </w:p>
        </w:tc>
      </w:tr>
      <w:tr w:rsidR="00250935" w14:paraId="784138A6" w14:textId="77777777" w:rsidTr="00250935">
        <w:trPr>
          <w:trHeight w:val="288"/>
        </w:trPr>
        <w:tc>
          <w:tcPr>
            <w:tcW w:w="2599" w:type="pct"/>
            <w:tcBorders>
              <w:top w:val="nil"/>
              <w:left w:val="single" w:sz="12" w:space="0" w:color="auto"/>
              <w:bottom w:val="nil"/>
              <w:right w:val="single" w:sz="12" w:space="0" w:color="auto"/>
            </w:tcBorders>
            <w:shd w:val="clear" w:color="auto" w:fill="auto"/>
            <w:vAlign w:val="center"/>
            <w:hideMark/>
          </w:tcPr>
          <w:p w14:paraId="1235A80E" w14:textId="77777777" w:rsidR="00250935" w:rsidRDefault="00250935">
            <w:pPr>
              <w:rPr>
                <w:b/>
                <w:bCs/>
                <w:color w:val="000000"/>
                <w:sz w:val="22"/>
                <w:szCs w:val="22"/>
              </w:rPr>
            </w:pPr>
            <w:r>
              <w:rPr>
                <w:b/>
                <w:bCs/>
                <w:color w:val="000000"/>
                <w:sz w:val="22"/>
                <w:szCs w:val="22"/>
              </w:rPr>
              <w:t>Υπόλοιπο 31.12.2019</w:t>
            </w:r>
          </w:p>
        </w:tc>
        <w:tc>
          <w:tcPr>
            <w:tcW w:w="1299" w:type="pct"/>
            <w:tcBorders>
              <w:top w:val="nil"/>
              <w:left w:val="nil"/>
              <w:bottom w:val="double" w:sz="6" w:space="0" w:color="auto"/>
              <w:right w:val="single" w:sz="12" w:space="0" w:color="auto"/>
            </w:tcBorders>
            <w:shd w:val="clear" w:color="auto" w:fill="auto"/>
            <w:vAlign w:val="center"/>
            <w:hideMark/>
          </w:tcPr>
          <w:p w14:paraId="2F7CCD38" w14:textId="77777777" w:rsidR="00250935" w:rsidRDefault="00250935">
            <w:pPr>
              <w:jc w:val="right"/>
              <w:rPr>
                <w:color w:val="000000"/>
                <w:sz w:val="22"/>
                <w:szCs w:val="22"/>
              </w:rPr>
            </w:pPr>
            <w:r>
              <w:rPr>
                <w:color w:val="000000"/>
                <w:sz w:val="22"/>
                <w:szCs w:val="22"/>
              </w:rPr>
              <w:t>-811.664,59</w:t>
            </w:r>
          </w:p>
        </w:tc>
        <w:tc>
          <w:tcPr>
            <w:tcW w:w="1102" w:type="pct"/>
            <w:tcBorders>
              <w:top w:val="nil"/>
              <w:left w:val="nil"/>
              <w:bottom w:val="double" w:sz="6" w:space="0" w:color="auto"/>
              <w:right w:val="single" w:sz="12" w:space="0" w:color="auto"/>
            </w:tcBorders>
            <w:shd w:val="clear" w:color="auto" w:fill="auto"/>
            <w:vAlign w:val="center"/>
            <w:hideMark/>
          </w:tcPr>
          <w:p w14:paraId="61D9B6A8" w14:textId="77777777" w:rsidR="00250935" w:rsidRDefault="00250935">
            <w:pPr>
              <w:jc w:val="right"/>
              <w:rPr>
                <w:color w:val="000000"/>
                <w:sz w:val="22"/>
                <w:szCs w:val="22"/>
              </w:rPr>
            </w:pPr>
            <w:r>
              <w:rPr>
                <w:color w:val="000000"/>
                <w:sz w:val="22"/>
                <w:szCs w:val="22"/>
              </w:rPr>
              <w:t>-76.982,92</w:t>
            </w:r>
          </w:p>
        </w:tc>
      </w:tr>
      <w:tr w:rsidR="00250935" w14:paraId="2926EEE6" w14:textId="77777777" w:rsidTr="00250935">
        <w:trPr>
          <w:trHeight w:val="300"/>
        </w:trPr>
        <w:tc>
          <w:tcPr>
            <w:tcW w:w="2599" w:type="pct"/>
            <w:tcBorders>
              <w:top w:val="nil"/>
              <w:left w:val="single" w:sz="12" w:space="0" w:color="auto"/>
              <w:bottom w:val="nil"/>
              <w:right w:val="single" w:sz="12" w:space="0" w:color="auto"/>
            </w:tcBorders>
            <w:shd w:val="clear" w:color="auto" w:fill="auto"/>
            <w:vAlign w:val="center"/>
            <w:hideMark/>
          </w:tcPr>
          <w:p w14:paraId="79272E8A" w14:textId="77777777" w:rsidR="00250935" w:rsidRDefault="00250935">
            <w:pPr>
              <w:rPr>
                <w:b/>
                <w:bCs/>
                <w:color w:val="000000"/>
                <w:sz w:val="22"/>
                <w:szCs w:val="22"/>
              </w:rPr>
            </w:pPr>
            <w:r>
              <w:rPr>
                <w:b/>
                <w:bCs/>
                <w:color w:val="000000"/>
                <w:sz w:val="22"/>
                <w:szCs w:val="22"/>
              </w:rPr>
              <w:t>Καθαρή λογιστική αξία 31.12.2019</w:t>
            </w:r>
          </w:p>
        </w:tc>
        <w:tc>
          <w:tcPr>
            <w:tcW w:w="1299" w:type="pct"/>
            <w:tcBorders>
              <w:top w:val="nil"/>
              <w:left w:val="nil"/>
              <w:bottom w:val="double" w:sz="6" w:space="0" w:color="auto"/>
              <w:right w:val="single" w:sz="12" w:space="0" w:color="auto"/>
            </w:tcBorders>
            <w:shd w:val="clear" w:color="auto" w:fill="auto"/>
            <w:vAlign w:val="center"/>
            <w:hideMark/>
          </w:tcPr>
          <w:p w14:paraId="6F31563F" w14:textId="77777777" w:rsidR="00250935" w:rsidRDefault="00250935">
            <w:pPr>
              <w:jc w:val="right"/>
              <w:rPr>
                <w:b/>
                <w:bCs/>
                <w:color w:val="000000"/>
                <w:sz w:val="22"/>
                <w:szCs w:val="22"/>
              </w:rPr>
            </w:pPr>
            <w:r>
              <w:rPr>
                <w:b/>
                <w:bCs/>
                <w:color w:val="000000"/>
                <w:sz w:val="22"/>
                <w:szCs w:val="22"/>
              </w:rPr>
              <w:t>3.899,40</w:t>
            </w:r>
          </w:p>
        </w:tc>
        <w:tc>
          <w:tcPr>
            <w:tcW w:w="1102" w:type="pct"/>
            <w:tcBorders>
              <w:top w:val="nil"/>
              <w:left w:val="nil"/>
              <w:bottom w:val="double" w:sz="6" w:space="0" w:color="auto"/>
              <w:right w:val="single" w:sz="12" w:space="0" w:color="auto"/>
            </w:tcBorders>
            <w:shd w:val="clear" w:color="auto" w:fill="auto"/>
            <w:vAlign w:val="center"/>
            <w:hideMark/>
          </w:tcPr>
          <w:p w14:paraId="52C6A14D" w14:textId="77777777" w:rsidR="00250935" w:rsidRDefault="00250935">
            <w:pPr>
              <w:jc w:val="right"/>
              <w:rPr>
                <w:b/>
                <w:bCs/>
                <w:color w:val="000000"/>
                <w:sz w:val="22"/>
                <w:szCs w:val="22"/>
              </w:rPr>
            </w:pPr>
            <w:r>
              <w:rPr>
                <w:b/>
                <w:bCs/>
                <w:color w:val="000000"/>
                <w:sz w:val="22"/>
                <w:szCs w:val="22"/>
              </w:rPr>
              <w:t>802,79</w:t>
            </w:r>
          </w:p>
        </w:tc>
      </w:tr>
      <w:tr w:rsidR="00250935" w14:paraId="3DA3B1E2" w14:textId="77777777" w:rsidTr="00250935">
        <w:trPr>
          <w:trHeight w:val="288"/>
        </w:trPr>
        <w:tc>
          <w:tcPr>
            <w:tcW w:w="2599" w:type="pct"/>
            <w:tcBorders>
              <w:top w:val="nil"/>
              <w:left w:val="single" w:sz="12" w:space="0" w:color="auto"/>
              <w:bottom w:val="nil"/>
              <w:right w:val="single" w:sz="12" w:space="0" w:color="auto"/>
            </w:tcBorders>
            <w:shd w:val="clear" w:color="auto" w:fill="auto"/>
            <w:vAlign w:val="center"/>
            <w:hideMark/>
          </w:tcPr>
          <w:p w14:paraId="55A7C4EC" w14:textId="77777777" w:rsidR="00250935" w:rsidRDefault="00250935">
            <w:pPr>
              <w:rPr>
                <w:b/>
                <w:bCs/>
                <w:color w:val="000000"/>
                <w:sz w:val="22"/>
                <w:szCs w:val="22"/>
              </w:rPr>
            </w:pPr>
            <w:r>
              <w:rPr>
                <w:b/>
                <w:bCs/>
                <w:color w:val="000000"/>
                <w:sz w:val="22"/>
                <w:szCs w:val="22"/>
              </w:rPr>
              <w:t xml:space="preserve">Αξία κτήσεως </w:t>
            </w:r>
          </w:p>
        </w:tc>
        <w:tc>
          <w:tcPr>
            <w:tcW w:w="1299" w:type="pct"/>
            <w:tcBorders>
              <w:top w:val="nil"/>
              <w:left w:val="nil"/>
              <w:bottom w:val="nil"/>
              <w:right w:val="single" w:sz="12" w:space="0" w:color="auto"/>
            </w:tcBorders>
            <w:shd w:val="clear" w:color="auto" w:fill="auto"/>
            <w:vAlign w:val="center"/>
            <w:hideMark/>
          </w:tcPr>
          <w:p w14:paraId="203A63A2" w14:textId="77777777" w:rsidR="00250935" w:rsidRDefault="00250935">
            <w:pPr>
              <w:rPr>
                <w:color w:val="000000"/>
                <w:sz w:val="22"/>
                <w:szCs w:val="22"/>
              </w:rPr>
            </w:pPr>
            <w:r>
              <w:rPr>
                <w:color w:val="000000"/>
                <w:sz w:val="22"/>
                <w:szCs w:val="22"/>
              </w:rPr>
              <w:t> </w:t>
            </w:r>
          </w:p>
        </w:tc>
        <w:tc>
          <w:tcPr>
            <w:tcW w:w="1102" w:type="pct"/>
            <w:tcBorders>
              <w:top w:val="nil"/>
              <w:left w:val="nil"/>
              <w:bottom w:val="nil"/>
              <w:right w:val="single" w:sz="12" w:space="0" w:color="auto"/>
            </w:tcBorders>
            <w:shd w:val="clear" w:color="auto" w:fill="auto"/>
            <w:vAlign w:val="center"/>
            <w:hideMark/>
          </w:tcPr>
          <w:p w14:paraId="7B0D05C8" w14:textId="77777777" w:rsidR="00250935" w:rsidRDefault="00250935">
            <w:pPr>
              <w:rPr>
                <w:color w:val="000000"/>
                <w:sz w:val="22"/>
                <w:szCs w:val="22"/>
              </w:rPr>
            </w:pPr>
            <w:r>
              <w:rPr>
                <w:color w:val="000000"/>
                <w:sz w:val="22"/>
                <w:szCs w:val="22"/>
              </w:rPr>
              <w:t> </w:t>
            </w:r>
          </w:p>
        </w:tc>
      </w:tr>
      <w:tr w:rsidR="00250935" w14:paraId="5D02B96E" w14:textId="77777777" w:rsidTr="00250935">
        <w:trPr>
          <w:trHeight w:val="276"/>
        </w:trPr>
        <w:tc>
          <w:tcPr>
            <w:tcW w:w="2599" w:type="pct"/>
            <w:tcBorders>
              <w:top w:val="nil"/>
              <w:left w:val="single" w:sz="12" w:space="0" w:color="auto"/>
              <w:bottom w:val="nil"/>
              <w:right w:val="single" w:sz="12" w:space="0" w:color="auto"/>
            </w:tcBorders>
            <w:shd w:val="clear" w:color="auto" w:fill="auto"/>
            <w:vAlign w:val="center"/>
            <w:hideMark/>
          </w:tcPr>
          <w:p w14:paraId="4BEBF80D" w14:textId="77777777" w:rsidR="00250935" w:rsidRDefault="00250935">
            <w:pPr>
              <w:rPr>
                <w:color w:val="000000"/>
                <w:sz w:val="22"/>
                <w:szCs w:val="22"/>
              </w:rPr>
            </w:pPr>
            <w:r>
              <w:rPr>
                <w:color w:val="000000"/>
                <w:sz w:val="22"/>
                <w:szCs w:val="22"/>
              </w:rPr>
              <w:t>Υπόλοιπο 1.1.2020</w:t>
            </w:r>
          </w:p>
        </w:tc>
        <w:tc>
          <w:tcPr>
            <w:tcW w:w="1299" w:type="pct"/>
            <w:tcBorders>
              <w:top w:val="nil"/>
              <w:left w:val="nil"/>
              <w:bottom w:val="nil"/>
              <w:right w:val="single" w:sz="12" w:space="0" w:color="auto"/>
            </w:tcBorders>
            <w:shd w:val="clear" w:color="auto" w:fill="auto"/>
            <w:vAlign w:val="center"/>
            <w:hideMark/>
          </w:tcPr>
          <w:p w14:paraId="3697F978" w14:textId="77777777" w:rsidR="00250935" w:rsidRDefault="00250935">
            <w:pPr>
              <w:jc w:val="right"/>
              <w:rPr>
                <w:color w:val="000000"/>
                <w:sz w:val="22"/>
                <w:szCs w:val="22"/>
              </w:rPr>
            </w:pPr>
            <w:r>
              <w:rPr>
                <w:color w:val="000000"/>
                <w:sz w:val="22"/>
                <w:szCs w:val="22"/>
              </w:rPr>
              <w:t>815.563,99</w:t>
            </w:r>
          </w:p>
        </w:tc>
        <w:tc>
          <w:tcPr>
            <w:tcW w:w="1102" w:type="pct"/>
            <w:tcBorders>
              <w:top w:val="nil"/>
              <w:left w:val="nil"/>
              <w:bottom w:val="nil"/>
              <w:right w:val="single" w:sz="12" w:space="0" w:color="auto"/>
            </w:tcBorders>
            <w:shd w:val="clear" w:color="auto" w:fill="auto"/>
            <w:vAlign w:val="center"/>
            <w:hideMark/>
          </w:tcPr>
          <w:p w14:paraId="7F4A35E6" w14:textId="77777777" w:rsidR="00250935" w:rsidRDefault="00250935">
            <w:pPr>
              <w:jc w:val="right"/>
              <w:rPr>
                <w:color w:val="000000"/>
                <w:sz w:val="22"/>
                <w:szCs w:val="22"/>
              </w:rPr>
            </w:pPr>
            <w:r>
              <w:rPr>
                <w:color w:val="000000"/>
                <w:sz w:val="22"/>
                <w:szCs w:val="22"/>
              </w:rPr>
              <w:t>77.785,71</w:t>
            </w:r>
          </w:p>
        </w:tc>
      </w:tr>
      <w:tr w:rsidR="00250935" w14:paraId="0CCAC568" w14:textId="77777777" w:rsidTr="00250935">
        <w:trPr>
          <w:trHeight w:val="288"/>
        </w:trPr>
        <w:tc>
          <w:tcPr>
            <w:tcW w:w="2599" w:type="pct"/>
            <w:tcBorders>
              <w:top w:val="nil"/>
              <w:left w:val="single" w:sz="12" w:space="0" w:color="auto"/>
              <w:bottom w:val="nil"/>
              <w:right w:val="single" w:sz="12" w:space="0" w:color="auto"/>
            </w:tcBorders>
            <w:shd w:val="clear" w:color="auto" w:fill="auto"/>
            <w:vAlign w:val="center"/>
            <w:hideMark/>
          </w:tcPr>
          <w:p w14:paraId="4C909AFC" w14:textId="77777777" w:rsidR="00250935" w:rsidRDefault="00250935">
            <w:pPr>
              <w:rPr>
                <w:b/>
                <w:bCs/>
                <w:color w:val="000000"/>
                <w:sz w:val="22"/>
                <w:szCs w:val="22"/>
              </w:rPr>
            </w:pPr>
            <w:r>
              <w:rPr>
                <w:b/>
                <w:bCs/>
                <w:color w:val="000000"/>
                <w:sz w:val="22"/>
                <w:szCs w:val="22"/>
              </w:rPr>
              <w:t>Υπόλοιπο 31.12.2020</w:t>
            </w:r>
          </w:p>
        </w:tc>
        <w:tc>
          <w:tcPr>
            <w:tcW w:w="1299" w:type="pct"/>
            <w:tcBorders>
              <w:top w:val="nil"/>
              <w:left w:val="nil"/>
              <w:bottom w:val="double" w:sz="6" w:space="0" w:color="auto"/>
              <w:right w:val="single" w:sz="12" w:space="0" w:color="auto"/>
            </w:tcBorders>
            <w:shd w:val="clear" w:color="auto" w:fill="auto"/>
            <w:vAlign w:val="center"/>
            <w:hideMark/>
          </w:tcPr>
          <w:p w14:paraId="62969035" w14:textId="77777777" w:rsidR="00250935" w:rsidRDefault="00250935">
            <w:pPr>
              <w:jc w:val="right"/>
              <w:rPr>
                <w:color w:val="000000"/>
                <w:sz w:val="22"/>
                <w:szCs w:val="22"/>
              </w:rPr>
            </w:pPr>
            <w:r>
              <w:rPr>
                <w:color w:val="000000"/>
                <w:sz w:val="22"/>
                <w:szCs w:val="22"/>
              </w:rPr>
              <w:t>815.563,99</w:t>
            </w:r>
          </w:p>
        </w:tc>
        <w:tc>
          <w:tcPr>
            <w:tcW w:w="1102" w:type="pct"/>
            <w:tcBorders>
              <w:top w:val="nil"/>
              <w:left w:val="nil"/>
              <w:bottom w:val="double" w:sz="6" w:space="0" w:color="auto"/>
              <w:right w:val="single" w:sz="12" w:space="0" w:color="auto"/>
            </w:tcBorders>
            <w:shd w:val="clear" w:color="auto" w:fill="auto"/>
            <w:vAlign w:val="center"/>
            <w:hideMark/>
          </w:tcPr>
          <w:p w14:paraId="45273937" w14:textId="77777777" w:rsidR="00250935" w:rsidRDefault="00250935">
            <w:pPr>
              <w:jc w:val="right"/>
              <w:rPr>
                <w:color w:val="000000"/>
                <w:sz w:val="22"/>
                <w:szCs w:val="22"/>
              </w:rPr>
            </w:pPr>
            <w:r>
              <w:rPr>
                <w:color w:val="000000"/>
                <w:sz w:val="22"/>
                <w:szCs w:val="22"/>
              </w:rPr>
              <w:t>77.785,71</w:t>
            </w:r>
          </w:p>
        </w:tc>
      </w:tr>
      <w:tr w:rsidR="00250935" w14:paraId="4D5ABA9D" w14:textId="77777777" w:rsidTr="00250935">
        <w:trPr>
          <w:trHeight w:val="564"/>
        </w:trPr>
        <w:tc>
          <w:tcPr>
            <w:tcW w:w="2599" w:type="pct"/>
            <w:tcBorders>
              <w:top w:val="nil"/>
              <w:left w:val="single" w:sz="12" w:space="0" w:color="auto"/>
              <w:bottom w:val="nil"/>
              <w:right w:val="single" w:sz="12" w:space="0" w:color="auto"/>
            </w:tcBorders>
            <w:shd w:val="clear" w:color="auto" w:fill="auto"/>
            <w:vAlign w:val="center"/>
            <w:hideMark/>
          </w:tcPr>
          <w:p w14:paraId="5A03D2C3" w14:textId="77777777" w:rsidR="00250935" w:rsidRDefault="00250935">
            <w:pPr>
              <w:rPr>
                <w:b/>
                <w:bCs/>
                <w:color w:val="000000"/>
                <w:sz w:val="22"/>
                <w:szCs w:val="22"/>
              </w:rPr>
            </w:pPr>
            <w:r>
              <w:rPr>
                <w:b/>
                <w:bCs/>
                <w:color w:val="000000"/>
                <w:sz w:val="22"/>
                <w:szCs w:val="22"/>
              </w:rPr>
              <w:t>Σωρευμένες αποσβέσεις και απομειώσεις</w:t>
            </w:r>
          </w:p>
        </w:tc>
        <w:tc>
          <w:tcPr>
            <w:tcW w:w="1299" w:type="pct"/>
            <w:tcBorders>
              <w:top w:val="nil"/>
              <w:left w:val="nil"/>
              <w:bottom w:val="nil"/>
              <w:right w:val="single" w:sz="12" w:space="0" w:color="auto"/>
            </w:tcBorders>
            <w:shd w:val="clear" w:color="auto" w:fill="auto"/>
            <w:vAlign w:val="center"/>
            <w:hideMark/>
          </w:tcPr>
          <w:p w14:paraId="5FB97494" w14:textId="77777777" w:rsidR="00250935" w:rsidRDefault="00250935">
            <w:pPr>
              <w:rPr>
                <w:color w:val="000000"/>
                <w:sz w:val="22"/>
                <w:szCs w:val="22"/>
              </w:rPr>
            </w:pPr>
            <w:r>
              <w:rPr>
                <w:color w:val="000000"/>
                <w:sz w:val="22"/>
                <w:szCs w:val="22"/>
              </w:rPr>
              <w:t> </w:t>
            </w:r>
          </w:p>
        </w:tc>
        <w:tc>
          <w:tcPr>
            <w:tcW w:w="1102" w:type="pct"/>
            <w:tcBorders>
              <w:top w:val="nil"/>
              <w:left w:val="nil"/>
              <w:bottom w:val="nil"/>
              <w:right w:val="single" w:sz="12" w:space="0" w:color="auto"/>
            </w:tcBorders>
            <w:shd w:val="clear" w:color="auto" w:fill="auto"/>
            <w:vAlign w:val="center"/>
            <w:hideMark/>
          </w:tcPr>
          <w:p w14:paraId="68BA47A0" w14:textId="77777777" w:rsidR="00250935" w:rsidRDefault="00250935">
            <w:pPr>
              <w:rPr>
                <w:color w:val="000000"/>
                <w:sz w:val="22"/>
                <w:szCs w:val="22"/>
              </w:rPr>
            </w:pPr>
            <w:r>
              <w:rPr>
                <w:color w:val="000000"/>
                <w:sz w:val="22"/>
                <w:szCs w:val="22"/>
              </w:rPr>
              <w:t> </w:t>
            </w:r>
          </w:p>
        </w:tc>
      </w:tr>
      <w:tr w:rsidR="00250935" w14:paraId="4D7BE682" w14:textId="77777777" w:rsidTr="00250935">
        <w:trPr>
          <w:trHeight w:val="276"/>
        </w:trPr>
        <w:tc>
          <w:tcPr>
            <w:tcW w:w="2599" w:type="pct"/>
            <w:tcBorders>
              <w:top w:val="nil"/>
              <w:left w:val="single" w:sz="12" w:space="0" w:color="auto"/>
              <w:bottom w:val="nil"/>
              <w:right w:val="single" w:sz="12" w:space="0" w:color="auto"/>
            </w:tcBorders>
            <w:shd w:val="clear" w:color="auto" w:fill="auto"/>
            <w:vAlign w:val="center"/>
            <w:hideMark/>
          </w:tcPr>
          <w:p w14:paraId="2CB5EBAF" w14:textId="77777777" w:rsidR="00250935" w:rsidRDefault="00250935">
            <w:pPr>
              <w:rPr>
                <w:color w:val="000000"/>
                <w:sz w:val="22"/>
                <w:szCs w:val="22"/>
              </w:rPr>
            </w:pPr>
            <w:r>
              <w:rPr>
                <w:color w:val="000000"/>
                <w:sz w:val="22"/>
                <w:szCs w:val="22"/>
              </w:rPr>
              <w:t>Υπόλοιπο 1.1.2020</w:t>
            </w:r>
          </w:p>
        </w:tc>
        <w:tc>
          <w:tcPr>
            <w:tcW w:w="1299" w:type="pct"/>
            <w:tcBorders>
              <w:top w:val="nil"/>
              <w:left w:val="nil"/>
              <w:bottom w:val="nil"/>
              <w:right w:val="single" w:sz="12" w:space="0" w:color="auto"/>
            </w:tcBorders>
            <w:shd w:val="clear" w:color="auto" w:fill="auto"/>
            <w:vAlign w:val="center"/>
            <w:hideMark/>
          </w:tcPr>
          <w:p w14:paraId="5A1F5976" w14:textId="77777777" w:rsidR="00250935" w:rsidRDefault="00250935">
            <w:pPr>
              <w:jc w:val="right"/>
              <w:rPr>
                <w:color w:val="000000"/>
                <w:sz w:val="22"/>
                <w:szCs w:val="22"/>
              </w:rPr>
            </w:pPr>
            <w:r>
              <w:rPr>
                <w:color w:val="000000"/>
                <w:sz w:val="22"/>
                <w:szCs w:val="22"/>
              </w:rPr>
              <w:t>-811.664,59</w:t>
            </w:r>
          </w:p>
        </w:tc>
        <w:tc>
          <w:tcPr>
            <w:tcW w:w="1102" w:type="pct"/>
            <w:tcBorders>
              <w:top w:val="nil"/>
              <w:left w:val="nil"/>
              <w:bottom w:val="nil"/>
              <w:right w:val="single" w:sz="12" w:space="0" w:color="auto"/>
            </w:tcBorders>
            <w:shd w:val="clear" w:color="auto" w:fill="auto"/>
            <w:vAlign w:val="center"/>
            <w:hideMark/>
          </w:tcPr>
          <w:p w14:paraId="7FB7E93E" w14:textId="77777777" w:rsidR="00250935" w:rsidRDefault="00250935">
            <w:pPr>
              <w:jc w:val="right"/>
              <w:rPr>
                <w:color w:val="000000"/>
                <w:sz w:val="22"/>
                <w:szCs w:val="22"/>
              </w:rPr>
            </w:pPr>
            <w:r>
              <w:rPr>
                <w:color w:val="000000"/>
                <w:sz w:val="22"/>
                <w:szCs w:val="22"/>
              </w:rPr>
              <w:t>-76.982,92</w:t>
            </w:r>
          </w:p>
        </w:tc>
      </w:tr>
      <w:tr w:rsidR="00250935" w14:paraId="54EF6129" w14:textId="77777777" w:rsidTr="00250935">
        <w:trPr>
          <w:trHeight w:val="276"/>
        </w:trPr>
        <w:tc>
          <w:tcPr>
            <w:tcW w:w="2599" w:type="pct"/>
            <w:tcBorders>
              <w:top w:val="nil"/>
              <w:left w:val="single" w:sz="12" w:space="0" w:color="auto"/>
              <w:bottom w:val="nil"/>
              <w:right w:val="single" w:sz="12" w:space="0" w:color="auto"/>
            </w:tcBorders>
            <w:shd w:val="clear" w:color="auto" w:fill="auto"/>
            <w:vAlign w:val="center"/>
            <w:hideMark/>
          </w:tcPr>
          <w:p w14:paraId="2546F427" w14:textId="77777777" w:rsidR="00250935" w:rsidRDefault="00250935">
            <w:pPr>
              <w:rPr>
                <w:color w:val="000000"/>
                <w:sz w:val="22"/>
                <w:szCs w:val="22"/>
              </w:rPr>
            </w:pPr>
            <w:r>
              <w:rPr>
                <w:color w:val="000000"/>
                <w:sz w:val="22"/>
                <w:szCs w:val="22"/>
              </w:rPr>
              <w:t>Αποσβέσεις περιόδου</w:t>
            </w:r>
          </w:p>
        </w:tc>
        <w:tc>
          <w:tcPr>
            <w:tcW w:w="1299" w:type="pct"/>
            <w:tcBorders>
              <w:top w:val="nil"/>
              <w:left w:val="nil"/>
              <w:bottom w:val="nil"/>
              <w:right w:val="single" w:sz="12" w:space="0" w:color="auto"/>
            </w:tcBorders>
            <w:shd w:val="clear" w:color="auto" w:fill="auto"/>
            <w:vAlign w:val="center"/>
            <w:hideMark/>
          </w:tcPr>
          <w:p w14:paraId="2E11375D" w14:textId="77777777" w:rsidR="00250935" w:rsidRDefault="00250935">
            <w:pPr>
              <w:jc w:val="right"/>
              <w:rPr>
                <w:color w:val="000000"/>
                <w:sz w:val="22"/>
                <w:szCs w:val="22"/>
              </w:rPr>
            </w:pPr>
            <w:r>
              <w:rPr>
                <w:color w:val="000000"/>
                <w:sz w:val="22"/>
                <w:szCs w:val="22"/>
              </w:rPr>
              <w:t>-803,06</w:t>
            </w:r>
          </w:p>
        </w:tc>
        <w:tc>
          <w:tcPr>
            <w:tcW w:w="1102" w:type="pct"/>
            <w:tcBorders>
              <w:top w:val="nil"/>
              <w:left w:val="nil"/>
              <w:bottom w:val="nil"/>
              <w:right w:val="single" w:sz="12" w:space="0" w:color="auto"/>
            </w:tcBorders>
            <w:shd w:val="clear" w:color="auto" w:fill="auto"/>
            <w:vAlign w:val="center"/>
            <w:hideMark/>
          </w:tcPr>
          <w:p w14:paraId="6585B14A" w14:textId="77777777" w:rsidR="00250935" w:rsidRDefault="00250935">
            <w:pPr>
              <w:jc w:val="right"/>
              <w:rPr>
                <w:color w:val="000000"/>
                <w:sz w:val="22"/>
                <w:szCs w:val="22"/>
              </w:rPr>
            </w:pPr>
            <w:r>
              <w:rPr>
                <w:color w:val="000000"/>
                <w:sz w:val="22"/>
                <w:szCs w:val="22"/>
              </w:rPr>
              <w:t>-549,05</w:t>
            </w:r>
          </w:p>
        </w:tc>
      </w:tr>
      <w:tr w:rsidR="00250935" w14:paraId="644ECF02" w14:textId="77777777" w:rsidTr="00250935">
        <w:trPr>
          <w:trHeight w:val="288"/>
        </w:trPr>
        <w:tc>
          <w:tcPr>
            <w:tcW w:w="2599" w:type="pct"/>
            <w:tcBorders>
              <w:top w:val="nil"/>
              <w:left w:val="single" w:sz="12" w:space="0" w:color="auto"/>
              <w:bottom w:val="nil"/>
              <w:right w:val="single" w:sz="12" w:space="0" w:color="auto"/>
            </w:tcBorders>
            <w:shd w:val="clear" w:color="auto" w:fill="auto"/>
            <w:vAlign w:val="center"/>
            <w:hideMark/>
          </w:tcPr>
          <w:p w14:paraId="7E6F56B4" w14:textId="77777777" w:rsidR="00250935" w:rsidRDefault="00250935">
            <w:pPr>
              <w:rPr>
                <w:b/>
                <w:bCs/>
                <w:color w:val="000000"/>
                <w:sz w:val="22"/>
                <w:szCs w:val="22"/>
              </w:rPr>
            </w:pPr>
            <w:r>
              <w:rPr>
                <w:b/>
                <w:bCs/>
                <w:color w:val="000000"/>
                <w:sz w:val="22"/>
                <w:szCs w:val="22"/>
              </w:rPr>
              <w:t>Υπόλοιπο 31.12.2020</w:t>
            </w:r>
          </w:p>
        </w:tc>
        <w:tc>
          <w:tcPr>
            <w:tcW w:w="1299" w:type="pct"/>
            <w:tcBorders>
              <w:top w:val="nil"/>
              <w:left w:val="nil"/>
              <w:bottom w:val="double" w:sz="6" w:space="0" w:color="auto"/>
              <w:right w:val="single" w:sz="12" w:space="0" w:color="auto"/>
            </w:tcBorders>
            <w:shd w:val="clear" w:color="auto" w:fill="auto"/>
            <w:vAlign w:val="center"/>
            <w:hideMark/>
          </w:tcPr>
          <w:p w14:paraId="105E3E6A" w14:textId="77777777" w:rsidR="00250935" w:rsidRDefault="00250935">
            <w:pPr>
              <w:jc w:val="right"/>
              <w:rPr>
                <w:color w:val="000000"/>
                <w:sz w:val="22"/>
                <w:szCs w:val="22"/>
              </w:rPr>
            </w:pPr>
            <w:r>
              <w:rPr>
                <w:color w:val="000000"/>
                <w:sz w:val="22"/>
                <w:szCs w:val="22"/>
              </w:rPr>
              <w:t>-812.467,65</w:t>
            </w:r>
          </w:p>
        </w:tc>
        <w:tc>
          <w:tcPr>
            <w:tcW w:w="1102" w:type="pct"/>
            <w:tcBorders>
              <w:top w:val="nil"/>
              <w:left w:val="nil"/>
              <w:bottom w:val="double" w:sz="6" w:space="0" w:color="auto"/>
              <w:right w:val="single" w:sz="12" w:space="0" w:color="auto"/>
            </w:tcBorders>
            <w:shd w:val="clear" w:color="auto" w:fill="auto"/>
            <w:vAlign w:val="center"/>
            <w:hideMark/>
          </w:tcPr>
          <w:p w14:paraId="0A8D2846" w14:textId="77777777" w:rsidR="00250935" w:rsidRDefault="00250935">
            <w:pPr>
              <w:jc w:val="right"/>
              <w:rPr>
                <w:color w:val="000000"/>
                <w:sz w:val="22"/>
                <w:szCs w:val="22"/>
              </w:rPr>
            </w:pPr>
            <w:r>
              <w:rPr>
                <w:color w:val="000000"/>
                <w:sz w:val="22"/>
                <w:szCs w:val="22"/>
              </w:rPr>
              <w:t>-77.531,97</w:t>
            </w:r>
          </w:p>
        </w:tc>
      </w:tr>
      <w:tr w:rsidR="00250935" w14:paraId="2556C9F6" w14:textId="77777777" w:rsidTr="00250935">
        <w:trPr>
          <w:trHeight w:val="300"/>
        </w:trPr>
        <w:tc>
          <w:tcPr>
            <w:tcW w:w="2599" w:type="pct"/>
            <w:tcBorders>
              <w:top w:val="nil"/>
              <w:left w:val="single" w:sz="12" w:space="0" w:color="auto"/>
              <w:bottom w:val="single" w:sz="12" w:space="0" w:color="auto"/>
              <w:right w:val="single" w:sz="12" w:space="0" w:color="auto"/>
            </w:tcBorders>
            <w:shd w:val="clear" w:color="auto" w:fill="auto"/>
            <w:vAlign w:val="center"/>
            <w:hideMark/>
          </w:tcPr>
          <w:p w14:paraId="3E6867CD" w14:textId="77777777" w:rsidR="00250935" w:rsidRDefault="00250935">
            <w:pPr>
              <w:rPr>
                <w:b/>
                <w:bCs/>
                <w:color w:val="000000"/>
                <w:sz w:val="22"/>
                <w:szCs w:val="22"/>
              </w:rPr>
            </w:pPr>
            <w:r>
              <w:rPr>
                <w:b/>
                <w:bCs/>
                <w:color w:val="000000"/>
                <w:sz w:val="22"/>
                <w:szCs w:val="22"/>
              </w:rPr>
              <w:t>Καθαρή λογιστική αξία 31.12.2020</w:t>
            </w:r>
          </w:p>
        </w:tc>
        <w:tc>
          <w:tcPr>
            <w:tcW w:w="1299" w:type="pct"/>
            <w:tcBorders>
              <w:top w:val="nil"/>
              <w:left w:val="nil"/>
              <w:bottom w:val="double" w:sz="6" w:space="0" w:color="auto"/>
              <w:right w:val="single" w:sz="12" w:space="0" w:color="auto"/>
            </w:tcBorders>
            <w:shd w:val="clear" w:color="auto" w:fill="auto"/>
            <w:vAlign w:val="center"/>
            <w:hideMark/>
          </w:tcPr>
          <w:p w14:paraId="466308C7" w14:textId="77777777" w:rsidR="00250935" w:rsidRDefault="00250935">
            <w:pPr>
              <w:jc w:val="right"/>
              <w:rPr>
                <w:b/>
                <w:bCs/>
                <w:color w:val="000000"/>
                <w:sz w:val="22"/>
                <w:szCs w:val="22"/>
              </w:rPr>
            </w:pPr>
            <w:r>
              <w:rPr>
                <w:b/>
                <w:bCs/>
                <w:color w:val="000000"/>
                <w:sz w:val="22"/>
                <w:szCs w:val="22"/>
              </w:rPr>
              <w:t>3.096,34</w:t>
            </w:r>
          </w:p>
        </w:tc>
        <w:tc>
          <w:tcPr>
            <w:tcW w:w="1102" w:type="pct"/>
            <w:tcBorders>
              <w:top w:val="nil"/>
              <w:left w:val="nil"/>
              <w:bottom w:val="double" w:sz="6" w:space="0" w:color="auto"/>
              <w:right w:val="single" w:sz="12" w:space="0" w:color="auto"/>
            </w:tcBorders>
            <w:shd w:val="clear" w:color="auto" w:fill="auto"/>
            <w:vAlign w:val="center"/>
            <w:hideMark/>
          </w:tcPr>
          <w:p w14:paraId="605483F2" w14:textId="77777777" w:rsidR="00250935" w:rsidRDefault="00250935">
            <w:pPr>
              <w:jc w:val="right"/>
              <w:rPr>
                <w:b/>
                <w:bCs/>
                <w:color w:val="000000"/>
                <w:sz w:val="22"/>
                <w:szCs w:val="22"/>
              </w:rPr>
            </w:pPr>
            <w:r>
              <w:rPr>
                <w:b/>
                <w:bCs/>
                <w:color w:val="000000"/>
                <w:sz w:val="22"/>
                <w:szCs w:val="22"/>
              </w:rPr>
              <w:t>253,74</w:t>
            </w:r>
          </w:p>
        </w:tc>
      </w:tr>
    </w:tbl>
    <w:p w14:paraId="0D8E9D30" w14:textId="77777777" w:rsidR="00A258EC" w:rsidRPr="00A131AE" w:rsidRDefault="00A258EC" w:rsidP="003506D2">
      <w:pPr>
        <w:shd w:val="clear" w:color="auto" w:fill="FFFFFF"/>
        <w:spacing w:line="276" w:lineRule="auto"/>
        <w:ind w:left="284" w:right="11" w:hanging="284"/>
        <w:rPr>
          <w:b/>
          <w:sz w:val="22"/>
          <w:szCs w:val="22"/>
          <w:highlight w:val="yellow"/>
        </w:rPr>
      </w:pPr>
    </w:p>
    <w:p w14:paraId="33310478" w14:textId="77777777" w:rsidR="00917343" w:rsidRPr="00B45F92" w:rsidRDefault="00917343" w:rsidP="00B82D0D">
      <w:pPr>
        <w:shd w:val="clear" w:color="auto" w:fill="FFFFFF"/>
        <w:spacing w:after="200" w:line="276" w:lineRule="auto"/>
        <w:ind w:left="284" w:right="14" w:hanging="284"/>
        <w:rPr>
          <w:b/>
          <w:sz w:val="22"/>
          <w:szCs w:val="22"/>
        </w:rPr>
      </w:pPr>
      <w:r w:rsidRPr="00B45F92">
        <w:rPr>
          <w:b/>
          <w:sz w:val="22"/>
          <w:szCs w:val="22"/>
        </w:rPr>
        <w:t>6.</w:t>
      </w:r>
      <w:r w:rsidR="00751887" w:rsidRPr="00B45F92">
        <w:rPr>
          <w:b/>
          <w:sz w:val="22"/>
          <w:szCs w:val="22"/>
        </w:rPr>
        <w:t>2</w:t>
      </w:r>
      <w:r w:rsidRPr="00B45F92">
        <w:rPr>
          <w:b/>
          <w:sz w:val="22"/>
          <w:szCs w:val="22"/>
        </w:rPr>
        <w:t>. Επενδυτικά ακίνητα</w:t>
      </w:r>
    </w:p>
    <w:tbl>
      <w:tblPr>
        <w:tblW w:w="5000" w:type="pct"/>
        <w:tblLook w:val="04A0" w:firstRow="1" w:lastRow="0" w:firstColumn="1" w:lastColumn="0" w:noHBand="0" w:noVBand="1"/>
      </w:tblPr>
      <w:tblGrid>
        <w:gridCol w:w="5089"/>
        <w:gridCol w:w="2409"/>
        <w:gridCol w:w="2224"/>
      </w:tblGrid>
      <w:tr w:rsidR="00B45F92" w14:paraId="0862AA8D" w14:textId="77777777" w:rsidTr="00250935">
        <w:tc>
          <w:tcPr>
            <w:tcW w:w="2617" w:type="pct"/>
            <w:tcBorders>
              <w:top w:val="single" w:sz="12" w:space="0" w:color="auto"/>
              <w:left w:val="single" w:sz="12" w:space="0" w:color="auto"/>
              <w:bottom w:val="single" w:sz="12" w:space="0" w:color="auto"/>
              <w:right w:val="single" w:sz="12" w:space="0" w:color="auto"/>
            </w:tcBorders>
            <w:shd w:val="clear" w:color="auto" w:fill="auto"/>
            <w:vAlign w:val="center"/>
            <w:hideMark/>
          </w:tcPr>
          <w:p w14:paraId="7A8534C0" w14:textId="77777777" w:rsidR="00B45F92" w:rsidRDefault="00B45F92" w:rsidP="003506D2">
            <w:pPr>
              <w:spacing w:line="276" w:lineRule="auto"/>
              <w:rPr>
                <w:b/>
                <w:bCs/>
                <w:color w:val="000000"/>
                <w:sz w:val="22"/>
                <w:szCs w:val="22"/>
              </w:rPr>
            </w:pPr>
            <w:r>
              <w:rPr>
                <w:b/>
                <w:bCs/>
                <w:color w:val="000000"/>
                <w:sz w:val="22"/>
                <w:szCs w:val="22"/>
              </w:rPr>
              <w:t>Πίνακας μεταβολών επενδυτικών ακινήτων</w:t>
            </w:r>
          </w:p>
        </w:tc>
        <w:tc>
          <w:tcPr>
            <w:tcW w:w="1239" w:type="pct"/>
            <w:tcBorders>
              <w:top w:val="single" w:sz="12" w:space="0" w:color="auto"/>
              <w:left w:val="nil"/>
              <w:bottom w:val="single" w:sz="12" w:space="0" w:color="auto"/>
              <w:right w:val="single" w:sz="12" w:space="0" w:color="auto"/>
            </w:tcBorders>
            <w:shd w:val="clear" w:color="auto" w:fill="auto"/>
            <w:vAlign w:val="center"/>
            <w:hideMark/>
          </w:tcPr>
          <w:p w14:paraId="63459CB0" w14:textId="77777777" w:rsidR="00B45F92" w:rsidRDefault="00B45F92" w:rsidP="003506D2">
            <w:pPr>
              <w:spacing w:line="276" w:lineRule="auto"/>
              <w:jc w:val="center"/>
              <w:rPr>
                <w:b/>
                <w:bCs/>
                <w:color w:val="000000"/>
                <w:sz w:val="22"/>
                <w:szCs w:val="22"/>
              </w:rPr>
            </w:pPr>
            <w:r>
              <w:rPr>
                <w:b/>
                <w:bCs/>
                <w:color w:val="000000"/>
                <w:sz w:val="22"/>
                <w:szCs w:val="22"/>
              </w:rPr>
              <w:t>Γήπεδα</w:t>
            </w:r>
          </w:p>
        </w:tc>
        <w:tc>
          <w:tcPr>
            <w:tcW w:w="1144" w:type="pct"/>
            <w:tcBorders>
              <w:top w:val="single" w:sz="12" w:space="0" w:color="auto"/>
              <w:left w:val="nil"/>
              <w:bottom w:val="single" w:sz="12" w:space="0" w:color="auto"/>
              <w:right w:val="single" w:sz="12" w:space="0" w:color="auto"/>
            </w:tcBorders>
            <w:shd w:val="clear" w:color="auto" w:fill="auto"/>
            <w:vAlign w:val="center"/>
            <w:hideMark/>
          </w:tcPr>
          <w:p w14:paraId="0098FE5B" w14:textId="77777777" w:rsidR="00B45F92" w:rsidRDefault="00B45F92" w:rsidP="003506D2">
            <w:pPr>
              <w:spacing w:line="276" w:lineRule="auto"/>
              <w:jc w:val="center"/>
              <w:rPr>
                <w:b/>
                <w:bCs/>
                <w:color w:val="000000"/>
                <w:sz w:val="22"/>
                <w:szCs w:val="22"/>
              </w:rPr>
            </w:pPr>
            <w:r>
              <w:rPr>
                <w:b/>
                <w:bCs/>
                <w:color w:val="000000"/>
                <w:sz w:val="22"/>
                <w:szCs w:val="22"/>
              </w:rPr>
              <w:t>Σύνολο</w:t>
            </w:r>
          </w:p>
        </w:tc>
      </w:tr>
      <w:tr w:rsidR="00B45F92" w14:paraId="4A2599D4" w14:textId="77777777" w:rsidTr="00250935">
        <w:tc>
          <w:tcPr>
            <w:tcW w:w="2617" w:type="pct"/>
            <w:tcBorders>
              <w:top w:val="nil"/>
              <w:left w:val="single" w:sz="12" w:space="0" w:color="auto"/>
              <w:bottom w:val="nil"/>
              <w:right w:val="single" w:sz="12" w:space="0" w:color="auto"/>
            </w:tcBorders>
            <w:shd w:val="clear" w:color="auto" w:fill="auto"/>
            <w:vAlign w:val="center"/>
            <w:hideMark/>
          </w:tcPr>
          <w:p w14:paraId="4C358D42" w14:textId="77777777" w:rsidR="00B45F92" w:rsidRDefault="00B45F92" w:rsidP="003506D2">
            <w:pPr>
              <w:spacing w:line="276" w:lineRule="auto"/>
              <w:rPr>
                <w:b/>
                <w:bCs/>
                <w:color w:val="000000"/>
                <w:sz w:val="22"/>
                <w:szCs w:val="22"/>
              </w:rPr>
            </w:pPr>
            <w:r>
              <w:rPr>
                <w:b/>
                <w:bCs/>
                <w:color w:val="000000"/>
                <w:sz w:val="22"/>
                <w:szCs w:val="22"/>
              </w:rPr>
              <w:t xml:space="preserve">Αξία κτήσεως </w:t>
            </w:r>
          </w:p>
        </w:tc>
        <w:tc>
          <w:tcPr>
            <w:tcW w:w="1239" w:type="pct"/>
            <w:tcBorders>
              <w:top w:val="nil"/>
              <w:left w:val="nil"/>
              <w:bottom w:val="nil"/>
              <w:right w:val="single" w:sz="12" w:space="0" w:color="auto"/>
            </w:tcBorders>
            <w:shd w:val="clear" w:color="auto" w:fill="auto"/>
            <w:vAlign w:val="center"/>
            <w:hideMark/>
          </w:tcPr>
          <w:p w14:paraId="3D78FE7F" w14:textId="77777777" w:rsidR="00B45F92" w:rsidRDefault="00B45F92" w:rsidP="003506D2">
            <w:pPr>
              <w:spacing w:line="276" w:lineRule="auto"/>
              <w:rPr>
                <w:color w:val="000000"/>
                <w:sz w:val="22"/>
                <w:szCs w:val="22"/>
              </w:rPr>
            </w:pPr>
            <w:r>
              <w:rPr>
                <w:color w:val="000000"/>
                <w:sz w:val="22"/>
                <w:szCs w:val="22"/>
              </w:rPr>
              <w:t> </w:t>
            </w:r>
          </w:p>
        </w:tc>
        <w:tc>
          <w:tcPr>
            <w:tcW w:w="1144" w:type="pct"/>
            <w:tcBorders>
              <w:top w:val="nil"/>
              <w:left w:val="nil"/>
              <w:bottom w:val="nil"/>
              <w:right w:val="single" w:sz="12" w:space="0" w:color="auto"/>
            </w:tcBorders>
            <w:shd w:val="clear" w:color="auto" w:fill="auto"/>
            <w:vAlign w:val="center"/>
            <w:hideMark/>
          </w:tcPr>
          <w:p w14:paraId="65C8244D" w14:textId="77777777" w:rsidR="00B45F92" w:rsidRDefault="00B45F92" w:rsidP="003506D2">
            <w:pPr>
              <w:spacing w:line="276" w:lineRule="auto"/>
              <w:rPr>
                <w:color w:val="000000"/>
                <w:sz w:val="22"/>
                <w:szCs w:val="22"/>
              </w:rPr>
            </w:pPr>
            <w:r>
              <w:rPr>
                <w:color w:val="000000"/>
                <w:sz w:val="22"/>
                <w:szCs w:val="22"/>
              </w:rPr>
              <w:t> </w:t>
            </w:r>
          </w:p>
        </w:tc>
      </w:tr>
      <w:tr w:rsidR="00B45F92" w14:paraId="5F5DC108" w14:textId="77777777" w:rsidTr="00250935">
        <w:tc>
          <w:tcPr>
            <w:tcW w:w="2617" w:type="pct"/>
            <w:tcBorders>
              <w:top w:val="nil"/>
              <w:left w:val="single" w:sz="12" w:space="0" w:color="auto"/>
              <w:bottom w:val="nil"/>
              <w:right w:val="single" w:sz="12" w:space="0" w:color="auto"/>
            </w:tcBorders>
            <w:shd w:val="clear" w:color="auto" w:fill="auto"/>
            <w:vAlign w:val="center"/>
            <w:hideMark/>
          </w:tcPr>
          <w:p w14:paraId="1F8B3D86" w14:textId="77777777" w:rsidR="00B45F92" w:rsidRDefault="00B45F92" w:rsidP="003506D2">
            <w:pPr>
              <w:spacing w:line="276" w:lineRule="auto"/>
              <w:rPr>
                <w:color w:val="000000"/>
                <w:sz w:val="22"/>
                <w:szCs w:val="22"/>
              </w:rPr>
            </w:pPr>
            <w:r>
              <w:rPr>
                <w:color w:val="000000"/>
                <w:sz w:val="22"/>
                <w:szCs w:val="22"/>
              </w:rPr>
              <w:t>Υπόλοιπο 1.1.201</w:t>
            </w:r>
            <w:r w:rsidR="00250935">
              <w:rPr>
                <w:color w:val="000000"/>
                <w:sz w:val="22"/>
                <w:szCs w:val="22"/>
              </w:rPr>
              <w:t>9</w:t>
            </w:r>
          </w:p>
        </w:tc>
        <w:tc>
          <w:tcPr>
            <w:tcW w:w="1239" w:type="pct"/>
            <w:tcBorders>
              <w:top w:val="nil"/>
              <w:left w:val="nil"/>
              <w:bottom w:val="single" w:sz="2" w:space="0" w:color="auto"/>
              <w:right w:val="single" w:sz="12" w:space="0" w:color="auto"/>
            </w:tcBorders>
            <w:shd w:val="clear" w:color="auto" w:fill="auto"/>
            <w:vAlign w:val="center"/>
            <w:hideMark/>
          </w:tcPr>
          <w:p w14:paraId="3BC3F98C" w14:textId="77777777" w:rsidR="00B45F92" w:rsidRDefault="00B45F92" w:rsidP="003506D2">
            <w:pPr>
              <w:spacing w:line="276" w:lineRule="auto"/>
              <w:jc w:val="right"/>
              <w:rPr>
                <w:color w:val="000000"/>
                <w:sz w:val="22"/>
                <w:szCs w:val="22"/>
              </w:rPr>
            </w:pPr>
            <w:r>
              <w:rPr>
                <w:color w:val="000000"/>
                <w:sz w:val="22"/>
                <w:szCs w:val="22"/>
              </w:rPr>
              <w:t>59.430,00</w:t>
            </w:r>
          </w:p>
        </w:tc>
        <w:tc>
          <w:tcPr>
            <w:tcW w:w="1144" w:type="pct"/>
            <w:tcBorders>
              <w:top w:val="nil"/>
              <w:left w:val="nil"/>
              <w:bottom w:val="single" w:sz="2" w:space="0" w:color="auto"/>
              <w:right w:val="single" w:sz="12" w:space="0" w:color="auto"/>
            </w:tcBorders>
            <w:shd w:val="clear" w:color="auto" w:fill="auto"/>
            <w:vAlign w:val="center"/>
            <w:hideMark/>
          </w:tcPr>
          <w:p w14:paraId="68494EB7" w14:textId="77777777" w:rsidR="00B45F92" w:rsidRDefault="00B45F92" w:rsidP="003506D2">
            <w:pPr>
              <w:spacing w:line="276" w:lineRule="auto"/>
              <w:jc w:val="right"/>
              <w:rPr>
                <w:color w:val="000000"/>
                <w:sz w:val="22"/>
                <w:szCs w:val="22"/>
              </w:rPr>
            </w:pPr>
            <w:r>
              <w:rPr>
                <w:color w:val="000000"/>
                <w:sz w:val="22"/>
                <w:szCs w:val="22"/>
              </w:rPr>
              <w:t>59.430,00</w:t>
            </w:r>
          </w:p>
        </w:tc>
      </w:tr>
      <w:tr w:rsidR="00B45F92" w14:paraId="38C22674" w14:textId="77777777" w:rsidTr="00250935">
        <w:tc>
          <w:tcPr>
            <w:tcW w:w="2617" w:type="pct"/>
            <w:tcBorders>
              <w:top w:val="nil"/>
              <w:left w:val="single" w:sz="12" w:space="0" w:color="auto"/>
              <w:bottom w:val="nil"/>
              <w:right w:val="single" w:sz="12" w:space="0" w:color="auto"/>
            </w:tcBorders>
            <w:shd w:val="clear" w:color="auto" w:fill="auto"/>
            <w:vAlign w:val="center"/>
            <w:hideMark/>
          </w:tcPr>
          <w:p w14:paraId="2AC34818" w14:textId="77777777" w:rsidR="00B45F92" w:rsidRDefault="00B45F92" w:rsidP="003506D2">
            <w:pPr>
              <w:spacing w:line="276" w:lineRule="auto"/>
              <w:rPr>
                <w:b/>
                <w:bCs/>
                <w:color w:val="000000"/>
                <w:sz w:val="22"/>
                <w:szCs w:val="22"/>
              </w:rPr>
            </w:pPr>
            <w:r>
              <w:rPr>
                <w:b/>
                <w:bCs/>
                <w:color w:val="000000"/>
                <w:sz w:val="22"/>
                <w:szCs w:val="22"/>
              </w:rPr>
              <w:t>Υπόλοιπο 31.12.201</w:t>
            </w:r>
            <w:r w:rsidR="00250935">
              <w:rPr>
                <w:b/>
                <w:bCs/>
                <w:color w:val="000000"/>
                <w:sz w:val="22"/>
                <w:szCs w:val="22"/>
              </w:rPr>
              <w:t>9</w:t>
            </w:r>
          </w:p>
        </w:tc>
        <w:tc>
          <w:tcPr>
            <w:tcW w:w="1239" w:type="pct"/>
            <w:tcBorders>
              <w:top w:val="single" w:sz="2" w:space="0" w:color="auto"/>
              <w:left w:val="nil"/>
              <w:bottom w:val="double" w:sz="6" w:space="0" w:color="auto"/>
              <w:right w:val="single" w:sz="12" w:space="0" w:color="auto"/>
            </w:tcBorders>
            <w:shd w:val="clear" w:color="auto" w:fill="auto"/>
            <w:vAlign w:val="center"/>
            <w:hideMark/>
          </w:tcPr>
          <w:p w14:paraId="20B181AF" w14:textId="77777777" w:rsidR="00B45F92" w:rsidRDefault="00B45F92" w:rsidP="003506D2">
            <w:pPr>
              <w:spacing w:line="276" w:lineRule="auto"/>
              <w:jc w:val="right"/>
              <w:rPr>
                <w:color w:val="000000"/>
                <w:sz w:val="22"/>
                <w:szCs w:val="22"/>
              </w:rPr>
            </w:pPr>
            <w:r>
              <w:rPr>
                <w:color w:val="000000"/>
                <w:sz w:val="22"/>
                <w:szCs w:val="22"/>
              </w:rPr>
              <w:t>59.430,00</w:t>
            </w:r>
          </w:p>
        </w:tc>
        <w:tc>
          <w:tcPr>
            <w:tcW w:w="1144" w:type="pct"/>
            <w:tcBorders>
              <w:top w:val="single" w:sz="2" w:space="0" w:color="auto"/>
              <w:left w:val="nil"/>
              <w:bottom w:val="double" w:sz="6" w:space="0" w:color="auto"/>
              <w:right w:val="single" w:sz="12" w:space="0" w:color="auto"/>
            </w:tcBorders>
            <w:shd w:val="clear" w:color="auto" w:fill="auto"/>
            <w:vAlign w:val="center"/>
            <w:hideMark/>
          </w:tcPr>
          <w:p w14:paraId="54C8DC8E" w14:textId="77777777" w:rsidR="00B45F92" w:rsidRDefault="00B45F92" w:rsidP="003506D2">
            <w:pPr>
              <w:spacing w:line="276" w:lineRule="auto"/>
              <w:jc w:val="right"/>
              <w:rPr>
                <w:color w:val="000000"/>
                <w:sz w:val="22"/>
                <w:szCs w:val="22"/>
              </w:rPr>
            </w:pPr>
            <w:r>
              <w:rPr>
                <w:color w:val="000000"/>
                <w:sz w:val="22"/>
                <w:szCs w:val="22"/>
              </w:rPr>
              <w:t>59.430,00</w:t>
            </w:r>
          </w:p>
        </w:tc>
      </w:tr>
      <w:tr w:rsidR="00B45F92" w14:paraId="4C211CEE" w14:textId="77777777" w:rsidTr="00250935">
        <w:tc>
          <w:tcPr>
            <w:tcW w:w="2617" w:type="pct"/>
            <w:tcBorders>
              <w:top w:val="nil"/>
              <w:left w:val="single" w:sz="12" w:space="0" w:color="auto"/>
              <w:bottom w:val="nil"/>
              <w:right w:val="single" w:sz="12" w:space="0" w:color="auto"/>
            </w:tcBorders>
            <w:shd w:val="clear" w:color="auto" w:fill="auto"/>
            <w:vAlign w:val="center"/>
            <w:hideMark/>
          </w:tcPr>
          <w:p w14:paraId="0B49F514" w14:textId="77777777" w:rsidR="00B45F92" w:rsidRDefault="00B45F92" w:rsidP="003506D2">
            <w:pPr>
              <w:spacing w:line="276" w:lineRule="auto"/>
              <w:rPr>
                <w:b/>
                <w:bCs/>
                <w:color w:val="000000"/>
                <w:sz w:val="22"/>
                <w:szCs w:val="22"/>
              </w:rPr>
            </w:pPr>
            <w:r>
              <w:rPr>
                <w:b/>
                <w:bCs/>
                <w:color w:val="000000"/>
                <w:sz w:val="22"/>
                <w:szCs w:val="22"/>
              </w:rPr>
              <w:t>Καθαρή λογιστική αξία 31.12.201</w:t>
            </w:r>
            <w:r w:rsidR="00250935">
              <w:rPr>
                <w:b/>
                <w:bCs/>
                <w:color w:val="000000"/>
                <w:sz w:val="22"/>
                <w:szCs w:val="22"/>
              </w:rPr>
              <w:t>9</w:t>
            </w:r>
          </w:p>
        </w:tc>
        <w:tc>
          <w:tcPr>
            <w:tcW w:w="1239" w:type="pct"/>
            <w:tcBorders>
              <w:top w:val="nil"/>
              <w:left w:val="nil"/>
              <w:bottom w:val="double" w:sz="6" w:space="0" w:color="auto"/>
              <w:right w:val="single" w:sz="12" w:space="0" w:color="auto"/>
            </w:tcBorders>
            <w:shd w:val="clear" w:color="auto" w:fill="auto"/>
            <w:vAlign w:val="center"/>
            <w:hideMark/>
          </w:tcPr>
          <w:p w14:paraId="2F4BB7F0" w14:textId="77777777" w:rsidR="00B45F92" w:rsidRDefault="00B45F92" w:rsidP="003506D2">
            <w:pPr>
              <w:spacing w:line="276" w:lineRule="auto"/>
              <w:jc w:val="right"/>
              <w:rPr>
                <w:b/>
                <w:bCs/>
                <w:color w:val="000000"/>
                <w:sz w:val="22"/>
                <w:szCs w:val="22"/>
              </w:rPr>
            </w:pPr>
            <w:r>
              <w:rPr>
                <w:b/>
                <w:bCs/>
                <w:color w:val="000000"/>
                <w:sz w:val="22"/>
                <w:szCs w:val="22"/>
              </w:rPr>
              <w:t>59.430,00</w:t>
            </w:r>
          </w:p>
        </w:tc>
        <w:tc>
          <w:tcPr>
            <w:tcW w:w="1144" w:type="pct"/>
            <w:tcBorders>
              <w:top w:val="nil"/>
              <w:left w:val="nil"/>
              <w:bottom w:val="double" w:sz="6" w:space="0" w:color="auto"/>
              <w:right w:val="single" w:sz="12" w:space="0" w:color="auto"/>
            </w:tcBorders>
            <w:shd w:val="clear" w:color="auto" w:fill="auto"/>
            <w:vAlign w:val="center"/>
            <w:hideMark/>
          </w:tcPr>
          <w:p w14:paraId="06DC4A75" w14:textId="77777777" w:rsidR="00B45F92" w:rsidRDefault="00B45F92" w:rsidP="003506D2">
            <w:pPr>
              <w:spacing w:line="276" w:lineRule="auto"/>
              <w:jc w:val="right"/>
              <w:rPr>
                <w:b/>
                <w:bCs/>
                <w:color w:val="000000"/>
                <w:sz w:val="22"/>
                <w:szCs w:val="22"/>
              </w:rPr>
            </w:pPr>
            <w:r>
              <w:rPr>
                <w:b/>
                <w:bCs/>
                <w:color w:val="000000"/>
                <w:sz w:val="22"/>
                <w:szCs w:val="22"/>
              </w:rPr>
              <w:t>59.430,00</w:t>
            </w:r>
          </w:p>
        </w:tc>
      </w:tr>
      <w:tr w:rsidR="00B45F92" w14:paraId="0281FE74" w14:textId="77777777" w:rsidTr="00250935">
        <w:tc>
          <w:tcPr>
            <w:tcW w:w="2617" w:type="pct"/>
            <w:tcBorders>
              <w:top w:val="nil"/>
              <w:left w:val="single" w:sz="12" w:space="0" w:color="auto"/>
              <w:bottom w:val="nil"/>
              <w:right w:val="single" w:sz="12" w:space="0" w:color="auto"/>
            </w:tcBorders>
            <w:shd w:val="clear" w:color="auto" w:fill="auto"/>
            <w:vAlign w:val="center"/>
            <w:hideMark/>
          </w:tcPr>
          <w:p w14:paraId="2D5FB9AB" w14:textId="77777777" w:rsidR="00B45F92" w:rsidRDefault="00B45F92" w:rsidP="003506D2">
            <w:pPr>
              <w:spacing w:line="276" w:lineRule="auto"/>
              <w:rPr>
                <w:b/>
                <w:bCs/>
                <w:color w:val="000000"/>
                <w:sz w:val="22"/>
                <w:szCs w:val="22"/>
              </w:rPr>
            </w:pPr>
            <w:r>
              <w:rPr>
                <w:b/>
                <w:bCs/>
                <w:color w:val="000000"/>
                <w:sz w:val="22"/>
                <w:szCs w:val="22"/>
              </w:rPr>
              <w:t xml:space="preserve">Αξία κτήσεως </w:t>
            </w:r>
          </w:p>
        </w:tc>
        <w:tc>
          <w:tcPr>
            <w:tcW w:w="1239" w:type="pct"/>
            <w:tcBorders>
              <w:top w:val="nil"/>
              <w:left w:val="nil"/>
              <w:bottom w:val="nil"/>
              <w:right w:val="single" w:sz="12" w:space="0" w:color="auto"/>
            </w:tcBorders>
            <w:shd w:val="clear" w:color="auto" w:fill="auto"/>
            <w:vAlign w:val="center"/>
            <w:hideMark/>
          </w:tcPr>
          <w:p w14:paraId="4C629B7A" w14:textId="77777777" w:rsidR="00B45F92" w:rsidRDefault="00B45F92" w:rsidP="003506D2">
            <w:pPr>
              <w:spacing w:line="276" w:lineRule="auto"/>
              <w:rPr>
                <w:color w:val="000000"/>
                <w:sz w:val="22"/>
                <w:szCs w:val="22"/>
              </w:rPr>
            </w:pPr>
            <w:r>
              <w:rPr>
                <w:color w:val="000000"/>
                <w:sz w:val="22"/>
                <w:szCs w:val="22"/>
              </w:rPr>
              <w:t> </w:t>
            </w:r>
          </w:p>
        </w:tc>
        <w:tc>
          <w:tcPr>
            <w:tcW w:w="1144" w:type="pct"/>
            <w:tcBorders>
              <w:top w:val="nil"/>
              <w:left w:val="nil"/>
              <w:bottom w:val="nil"/>
              <w:right w:val="single" w:sz="12" w:space="0" w:color="auto"/>
            </w:tcBorders>
            <w:shd w:val="clear" w:color="auto" w:fill="auto"/>
            <w:vAlign w:val="center"/>
            <w:hideMark/>
          </w:tcPr>
          <w:p w14:paraId="7DF386A9" w14:textId="77777777" w:rsidR="00B45F92" w:rsidRDefault="00B45F92" w:rsidP="003506D2">
            <w:pPr>
              <w:spacing w:line="276" w:lineRule="auto"/>
              <w:rPr>
                <w:color w:val="000000"/>
                <w:sz w:val="22"/>
                <w:szCs w:val="22"/>
              </w:rPr>
            </w:pPr>
            <w:r>
              <w:rPr>
                <w:color w:val="000000"/>
                <w:sz w:val="22"/>
                <w:szCs w:val="22"/>
              </w:rPr>
              <w:t> </w:t>
            </w:r>
          </w:p>
        </w:tc>
      </w:tr>
      <w:tr w:rsidR="00B45F92" w14:paraId="43179E9C" w14:textId="77777777" w:rsidTr="00250935">
        <w:tc>
          <w:tcPr>
            <w:tcW w:w="2617" w:type="pct"/>
            <w:tcBorders>
              <w:top w:val="nil"/>
              <w:left w:val="single" w:sz="12" w:space="0" w:color="auto"/>
              <w:bottom w:val="nil"/>
              <w:right w:val="single" w:sz="12" w:space="0" w:color="auto"/>
            </w:tcBorders>
            <w:shd w:val="clear" w:color="auto" w:fill="auto"/>
            <w:vAlign w:val="center"/>
            <w:hideMark/>
          </w:tcPr>
          <w:p w14:paraId="500B61C3" w14:textId="77777777" w:rsidR="00B45F92" w:rsidRDefault="00250935" w:rsidP="003506D2">
            <w:pPr>
              <w:spacing w:line="276" w:lineRule="auto"/>
              <w:rPr>
                <w:color w:val="000000"/>
                <w:sz w:val="22"/>
                <w:szCs w:val="22"/>
              </w:rPr>
            </w:pPr>
            <w:r>
              <w:rPr>
                <w:color w:val="000000"/>
                <w:sz w:val="22"/>
                <w:szCs w:val="22"/>
              </w:rPr>
              <w:t>Υπόλοιπο 1.1.2020</w:t>
            </w:r>
          </w:p>
        </w:tc>
        <w:tc>
          <w:tcPr>
            <w:tcW w:w="1239" w:type="pct"/>
            <w:tcBorders>
              <w:top w:val="nil"/>
              <w:left w:val="nil"/>
              <w:bottom w:val="single" w:sz="2" w:space="0" w:color="auto"/>
              <w:right w:val="single" w:sz="12" w:space="0" w:color="auto"/>
            </w:tcBorders>
            <w:shd w:val="clear" w:color="auto" w:fill="auto"/>
            <w:vAlign w:val="center"/>
            <w:hideMark/>
          </w:tcPr>
          <w:p w14:paraId="5FB24377" w14:textId="77777777" w:rsidR="00B45F92" w:rsidRDefault="00B45F92" w:rsidP="003506D2">
            <w:pPr>
              <w:spacing w:line="276" w:lineRule="auto"/>
              <w:jc w:val="right"/>
              <w:rPr>
                <w:color w:val="000000"/>
                <w:sz w:val="22"/>
                <w:szCs w:val="22"/>
              </w:rPr>
            </w:pPr>
            <w:r>
              <w:rPr>
                <w:color w:val="000000"/>
                <w:sz w:val="22"/>
                <w:szCs w:val="22"/>
              </w:rPr>
              <w:t>59.430,00</w:t>
            </w:r>
          </w:p>
        </w:tc>
        <w:tc>
          <w:tcPr>
            <w:tcW w:w="1144" w:type="pct"/>
            <w:tcBorders>
              <w:top w:val="nil"/>
              <w:left w:val="nil"/>
              <w:bottom w:val="single" w:sz="2" w:space="0" w:color="auto"/>
              <w:right w:val="single" w:sz="12" w:space="0" w:color="auto"/>
            </w:tcBorders>
            <w:shd w:val="clear" w:color="auto" w:fill="auto"/>
            <w:vAlign w:val="center"/>
            <w:hideMark/>
          </w:tcPr>
          <w:p w14:paraId="54D323F7" w14:textId="77777777" w:rsidR="00B45F92" w:rsidRDefault="00B45F92" w:rsidP="003506D2">
            <w:pPr>
              <w:spacing w:line="276" w:lineRule="auto"/>
              <w:jc w:val="right"/>
              <w:rPr>
                <w:color w:val="000000"/>
                <w:sz w:val="22"/>
                <w:szCs w:val="22"/>
              </w:rPr>
            </w:pPr>
            <w:r>
              <w:rPr>
                <w:color w:val="000000"/>
                <w:sz w:val="22"/>
                <w:szCs w:val="22"/>
              </w:rPr>
              <w:t>59.430,00</w:t>
            </w:r>
          </w:p>
        </w:tc>
      </w:tr>
      <w:tr w:rsidR="00B45F92" w14:paraId="66CEF335" w14:textId="77777777" w:rsidTr="00250935">
        <w:tc>
          <w:tcPr>
            <w:tcW w:w="2617" w:type="pct"/>
            <w:tcBorders>
              <w:top w:val="nil"/>
              <w:left w:val="single" w:sz="12" w:space="0" w:color="auto"/>
              <w:bottom w:val="nil"/>
              <w:right w:val="single" w:sz="12" w:space="0" w:color="auto"/>
            </w:tcBorders>
            <w:shd w:val="clear" w:color="auto" w:fill="auto"/>
            <w:vAlign w:val="center"/>
            <w:hideMark/>
          </w:tcPr>
          <w:p w14:paraId="7C2CA561" w14:textId="77777777" w:rsidR="00B45F92" w:rsidRDefault="00250935" w:rsidP="003506D2">
            <w:pPr>
              <w:spacing w:line="276" w:lineRule="auto"/>
              <w:rPr>
                <w:b/>
                <w:bCs/>
                <w:color w:val="000000"/>
                <w:sz w:val="22"/>
                <w:szCs w:val="22"/>
              </w:rPr>
            </w:pPr>
            <w:r>
              <w:rPr>
                <w:b/>
                <w:bCs/>
                <w:color w:val="000000"/>
                <w:sz w:val="22"/>
                <w:szCs w:val="22"/>
              </w:rPr>
              <w:t>Υπόλοιπο 31.12.2020</w:t>
            </w:r>
          </w:p>
        </w:tc>
        <w:tc>
          <w:tcPr>
            <w:tcW w:w="1239" w:type="pct"/>
            <w:tcBorders>
              <w:top w:val="single" w:sz="2" w:space="0" w:color="auto"/>
              <w:left w:val="nil"/>
              <w:bottom w:val="double" w:sz="6" w:space="0" w:color="auto"/>
              <w:right w:val="single" w:sz="12" w:space="0" w:color="auto"/>
            </w:tcBorders>
            <w:shd w:val="clear" w:color="auto" w:fill="auto"/>
            <w:vAlign w:val="center"/>
            <w:hideMark/>
          </w:tcPr>
          <w:p w14:paraId="57D16ADB" w14:textId="77777777" w:rsidR="00B45F92" w:rsidRDefault="00B45F92" w:rsidP="003506D2">
            <w:pPr>
              <w:spacing w:line="276" w:lineRule="auto"/>
              <w:jc w:val="right"/>
              <w:rPr>
                <w:color w:val="000000"/>
                <w:sz w:val="22"/>
                <w:szCs w:val="22"/>
              </w:rPr>
            </w:pPr>
            <w:r>
              <w:rPr>
                <w:color w:val="000000"/>
                <w:sz w:val="22"/>
                <w:szCs w:val="22"/>
              </w:rPr>
              <w:t>59.430,00</w:t>
            </w:r>
          </w:p>
        </w:tc>
        <w:tc>
          <w:tcPr>
            <w:tcW w:w="1144" w:type="pct"/>
            <w:tcBorders>
              <w:top w:val="single" w:sz="2" w:space="0" w:color="auto"/>
              <w:left w:val="nil"/>
              <w:bottom w:val="double" w:sz="6" w:space="0" w:color="auto"/>
              <w:right w:val="single" w:sz="12" w:space="0" w:color="auto"/>
            </w:tcBorders>
            <w:shd w:val="clear" w:color="auto" w:fill="auto"/>
            <w:vAlign w:val="center"/>
            <w:hideMark/>
          </w:tcPr>
          <w:p w14:paraId="17FD2DB3" w14:textId="77777777" w:rsidR="00B45F92" w:rsidRDefault="00B45F92" w:rsidP="003506D2">
            <w:pPr>
              <w:spacing w:line="276" w:lineRule="auto"/>
              <w:jc w:val="right"/>
              <w:rPr>
                <w:color w:val="000000"/>
                <w:sz w:val="22"/>
                <w:szCs w:val="22"/>
              </w:rPr>
            </w:pPr>
            <w:r>
              <w:rPr>
                <w:color w:val="000000"/>
                <w:sz w:val="22"/>
                <w:szCs w:val="22"/>
              </w:rPr>
              <w:t>59.430,00</w:t>
            </w:r>
          </w:p>
        </w:tc>
      </w:tr>
      <w:tr w:rsidR="00B45F92" w14:paraId="6302F00F" w14:textId="77777777" w:rsidTr="00250935">
        <w:tc>
          <w:tcPr>
            <w:tcW w:w="2617" w:type="pct"/>
            <w:tcBorders>
              <w:top w:val="nil"/>
              <w:left w:val="single" w:sz="12" w:space="0" w:color="auto"/>
              <w:bottom w:val="single" w:sz="12" w:space="0" w:color="auto"/>
              <w:right w:val="single" w:sz="12" w:space="0" w:color="auto"/>
            </w:tcBorders>
            <w:shd w:val="clear" w:color="auto" w:fill="auto"/>
            <w:vAlign w:val="center"/>
            <w:hideMark/>
          </w:tcPr>
          <w:p w14:paraId="2C552786" w14:textId="77777777" w:rsidR="00B45F92" w:rsidRDefault="00250935" w:rsidP="003506D2">
            <w:pPr>
              <w:spacing w:line="276" w:lineRule="auto"/>
              <w:rPr>
                <w:b/>
                <w:bCs/>
                <w:color w:val="000000"/>
                <w:sz w:val="22"/>
                <w:szCs w:val="22"/>
              </w:rPr>
            </w:pPr>
            <w:r>
              <w:rPr>
                <w:b/>
                <w:bCs/>
                <w:color w:val="000000"/>
                <w:sz w:val="22"/>
                <w:szCs w:val="22"/>
              </w:rPr>
              <w:t>Καθαρή λογιστική αξία 31.12.2020</w:t>
            </w:r>
          </w:p>
        </w:tc>
        <w:tc>
          <w:tcPr>
            <w:tcW w:w="1239" w:type="pct"/>
            <w:tcBorders>
              <w:top w:val="nil"/>
              <w:left w:val="nil"/>
              <w:bottom w:val="double" w:sz="6" w:space="0" w:color="auto"/>
              <w:right w:val="single" w:sz="12" w:space="0" w:color="auto"/>
            </w:tcBorders>
            <w:shd w:val="clear" w:color="auto" w:fill="auto"/>
            <w:vAlign w:val="center"/>
            <w:hideMark/>
          </w:tcPr>
          <w:p w14:paraId="59DA0F67" w14:textId="77777777" w:rsidR="00B45F92" w:rsidRDefault="00B45F92" w:rsidP="003506D2">
            <w:pPr>
              <w:spacing w:line="276" w:lineRule="auto"/>
              <w:jc w:val="right"/>
              <w:rPr>
                <w:b/>
                <w:bCs/>
                <w:color w:val="000000"/>
                <w:sz w:val="22"/>
                <w:szCs w:val="22"/>
              </w:rPr>
            </w:pPr>
            <w:r>
              <w:rPr>
                <w:b/>
                <w:bCs/>
                <w:color w:val="000000"/>
                <w:sz w:val="22"/>
                <w:szCs w:val="22"/>
              </w:rPr>
              <w:t>59.430,00</w:t>
            </w:r>
          </w:p>
        </w:tc>
        <w:tc>
          <w:tcPr>
            <w:tcW w:w="1144" w:type="pct"/>
            <w:tcBorders>
              <w:top w:val="nil"/>
              <w:left w:val="nil"/>
              <w:bottom w:val="double" w:sz="6" w:space="0" w:color="auto"/>
              <w:right w:val="single" w:sz="12" w:space="0" w:color="auto"/>
            </w:tcBorders>
            <w:shd w:val="clear" w:color="auto" w:fill="auto"/>
            <w:vAlign w:val="center"/>
            <w:hideMark/>
          </w:tcPr>
          <w:p w14:paraId="1D8DC673" w14:textId="77777777" w:rsidR="00B45F92" w:rsidRDefault="00B45F92" w:rsidP="003506D2">
            <w:pPr>
              <w:spacing w:line="276" w:lineRule="auto"/>
              <w:jc w:val="right"/>
              <w:rPr>
                <w:b/>
                <w:bCs/>
                <w:color w:val="000000"/>
                <w:sz w:val="22"/>
                <w:szCs w:val="22"/>
              </w:rPr>
            </w:pPr>
            <w:r>
              <w:rPr>
                <w:b/>
                <w:bCs/>
                <w:color w:val="000000"/>
                <w:sz w:val="22"/>
                <w:szCs w:val="22"/>
              </w:rPr>
              <w:t>59.430,00</w:t>
            </w:r>
          </w:p>
        </w:tc>
      </w:tr>
    </w:tbl>
    <w:p w14:paraId="02C057D4" w14:textId="77777777" w:rsidR="00253B1B" w:rsidRDefault="00253B1B" w:rsidP="00B82D0D">
      <w:pPr>
        <w:shd w:val="clear" w:color="auto" w:fill="FFFFFF"/>
        <w:spacing w:after="200" w:line="276" w:lineRule="auto"/>
        <w:ind w:left="284" w:right="14" w:hanging="284"/>
        <w:rPr>
          <w:b/>
          <w:sz w:val="22"/>
          <w:szCs w:val="22"/>
          <w:highlight w:val="yellow"/>
        </w:rPr>
      </w:pPr>
    </w:p>
    <w:p w14:paraId="27F61478" w14:textId="77777777" w:rsidR="00751887" w:rsidRPr="00B45F92" w:rsidRDefault="00880694" w:rsidP="003506D2">
      <w:pPr>
        <w:shd w:val="clear" w:color="auto" w:fill="FFFFFF"/>
        <w:spacing w:after="200" w:line="312" w:lineRule="auto"/>
        <w:ind w:left="284" w:right="14" w:hanging="284"/>
        <w:rPr>
          <w:b/>
          <w:sz w:val="22"/>
          <w:szCs w:val="22"/>
        </w:rPr>
      </w:pPr>
      <w:r w:rsidRPr="00B45F92">
        <w:rPr>
          <w:b/>
          <w:sz w:val="22"/>
          <w:szCs w:val="22"/>
        </w:rPr>
        <w:t>6.3</w:t>
      </w:r>
      <w:r w:rsidR="00751887" w:rsidRPr="00B45F92">
        <w:rPr>
          <w:b/>
          <w:sz w:val="22"/>
          <w:szCs w:val="22"/>
        </w:rPr>
        <w:t>. Άυλα πάγια περιουσιακά στοιχεία</w:t>
      </w:r>
    </w:p>
    <w:tbl>
      <w:tblPr>
        <w:tblW w:w="5000" w:type="pct"/>
        <w:tblLook w:val="04A0" w:firstRow="1" w:lastRow="0" w:firstColumn="1" w:lastColumn="0" w:noHBand="0" w:noVBand="1"/>
      </w:tblPr>
      <w:tblGrid>
        <w:gridCol w:w="7498"/>
        <w:gridCol w:w="2224"/>
      </w:tblGrid>
      <w:tr w:rsidR="00250935" w14:paraId="046297FF" w14:textId="77777777" w:rsidTr="00250935">
        <w:trPr>
          <w:trHeight w:val="576"/>
        </w:trPr>
        <w:tc>
          <w:tcPr>
            <w:tcW w:w="3856" w:type="pct"/>
            <w:tcBorders>
              <w:top w:val="single" w:sz="12" w:space="0" w:color="auto"/>
              <w:left w:val="single" w:sz="12" w:space="0" w:color="auto"/>
              <w:bottom w:val="single" w:sz="12" w:space="0" w:color="auto"/>
              <w:right w:val="single" w:sz="12" w:space="0" w:color="auto"/>
            </w:tcBorders>
            <w:shd w:val="clear" w:color="auto" w:fill="auto"/>
            <w:vAlign w:val="center"/>
            <w:hideMark/>
          </w:tcPr>
          <w:p w14:paraId="267BF8C5" w14:textId="77777777" w:rsidR="00250935" w:rsidRDefault="00250935">
            <w:pPr>
              <w:rPr>
                <w:b/>
                <w:bCs/>
                <w:color w:val="000000"/>
                <w:sz w:val="22"/>
                <w:szCs w:val="22"/>
              </w:rPr>
            </w:pPr>
            <w:r>
              <w:rPr>
                <w:b/>
                <w:bCs/>
                <w:color w:val="000000"/>
                <w:sz w:val="22"/>
                <w:szCs w:val="22"/>
              </w:rPr>
              <w:t>Πίνακας μεταβολών άυλων πάγιων στοιχείων</w:t>
            </w:r>
          </w:p>
        </w:tc>
        <w:tc>
          <w:tcPr>
            <w:tcW w:w="1144" w:type="pct"/>
            <w:tcBorders>
              <w:top w:val="single" w:sz="12" w:space="0" w:color="auto"/>
              <w:left w:val="nil"/>
              <w:bottom w:val="single" w:sz="12" w:space="0" w:color="auto"/>
              <w:right w:val="single" w:sz="12" w:space="0" w:color="auto"/>
            </w:tcBorders>
            <w:shd w:val="clear" w:color="auto" w:fill="auto"/>
            <w:vAlign w:val="center"/>
            <w:hideMark/>
          </w:tcPr>
          <w:p w14:paraId="7D035862" w14:textId="77777777" w:rsidR="00250935" w:rsidRDefault="00250935">
            <w:pPr>
              <w:jc w:val="center"/>
              <w:rPr>
                <w:b/>
                <w:bCs/>
                <w:color w:val="000000"/>
                <w:sz w:val="22"/>
                <w:szCs w:val="22"/>
              </w:rPr>
            </w:pPr>
            <w:r>
              <w:rPr>
                <w:b/>
                <w:bCs/>
                <w:color w:val="000000"/>
                <w:sz w:val="22"/>
                <w:szCs w:val="22"/>
              </w:rPr>
              <w:t>Λοιπά άυλα στοιχεία</w:t>
            </w:r>
          </w:p>
        </w:tc>
      </w:tr>
      <w:tr w:rsidR="00250935" w14:paraId="3E1757D7" w14:textId="77777777" w:rsidTr="00250935">
        <w:trPr>
          <w:trHeight w:val="288"/>
        </w:trPr>
        <w:tc>
          <w:tcPr>
            <w:tcW w:w="3856" w:type="pct"/>
            <w:tcBorders>
              <w:top w:val="nil"/>
              <w:left w:val="single" w:sz="12" w:space="0" w:color="auto"/>
              <w:bottom w:val="nil"/>
              <w:right w:val="single" w:sz="12" w:space="0" w:color="auto"/>
            </w:tcBorders>
            <w:shd w:val="clear" w:color="auto" w:fill="auto"/>
            <w:vAlign w:val="center"/>
            <w:hideMark/>
          </w:tcPr>
          <w:p w14:paraId="556DD6CB" w14:textId="77777777" w:rsidR="00250935" w:rsidRDefault="00250935">
            <w:pPr>
              <w:rPr>
                <w:b/>
                <w:bCs/>
                <w:color w:val="000000"/>
                <w:sz w:val="22"/>
                <w:szCs w:val="22"/>
              </w:rPr>
            </w:pPr>
            <w:r>
              <w:rPr>
                <w:b/>
                <w:bCs/>
                <w:color w:val="000000"/>
                <w:sz w:val="22"/>
                <w:szCs w:val="22"/>
              </w:rPr>
              <w:t xml:space="preserve">Αξία κτήσεως </w:t>
            </w:r>
          </w:p>
        </w:tc>
        <w:tc>
          <w:tcPr>
            <w:tcW w:w="1144" w:type="pct"/>
            <w:tcBorders>
              <w:top w:val="nil"/>
              <w:left w:val="nil"/>
              <w:bottom w:val="nil"/>
              <w:right w:val="single" w:sz="12" w:space="0" w:color="auto"/>
            </w:tcBorders>
            <w:shd w:val="clear" w:color="auto" w:fill="auto"/>
            <w:vAlign w:val="center"/>
            <w:hideMark/>
          </w:tcPr>
          <w:p w14:paraId="71D61CAF" w14:textId="77777777" w:rsidR="00250935" w:rsidRDefault="00250935">
            <w:pPr>
              <w:rPr>
                <w:color w:val="000000"/>
                <w:sz w:val="22"/>
                <w:szCs w:val="22"/>
              </w:rPr>
            </w:pPr>
            <w:r>
              <w:rPr>
                <w:color w:val="000000"/>
                <w:sz w:val="22"/>
                <w:szCs w:val="22"/>
              </w:rPr>
              <w:t> </w:t>
            </w:r>
          </w:p>
        </w:tc>
      </w:tr>
      <w:tr w:rsidR="00250935" w14:paraId="13FED4AA" w14:textId="77777777" w:rsidTr="00250935">
        <w:trPr>
          <w:trHeight w:val="276"/>
        </w:trPr>
        <w:tc>
          <w:tcPr>
            <w:tcW w:w="3856" w:type="pct"/>
            <w:tcBorders>
              <w:top w:val="nil"/>
              <w:left w:val="single" w:sz="12" w:space="0" w:color="auto"/>
              <w:bottom w:val="nil"/>
              <w:right w:val="single" w:sz="12" w:space="0" w:color="auto"/>
            </w:tcBorders>
            <w:shd w:val="clear" w:color="auto" w:fill="auto"/>
            <w:vAlign w:val="center"/>
            <w:hideMark/>
          </w:tcPr>
          <w:p w14:paraId="2091AD19" w14:textId="77777777" w:rsidR="00250935" w:rsidRDefault="00250935">
            <w:pPr>
              <w:rPr>
                <w:color w:val="000000"/>
                <w:sz w:val="22"/>
                <w:szCs w:val="22"/>
              </w:rPr>
            </w:pPr>
            <w:r>
              <w:rPr>
                <w:color w:val="000000"/>
                <w:sz w:val="22"/>
                <w:szCs w:val="22"/>
              </w:rPr>
              <w:t>Υπόλοιπο 1.1.2019</w:t>
            </w:r>
          </w:p>
        </w:tc>
        <w:tc>
          <w:tcPr>
            <w:tcW w:w="1144" w:type="pct"/>
            <w:tcBorders>
              <w:top w:val="nil"/>
              <w:left w:val="nil"/>
              <w:bottom w:val="nil"/>
              <w:right w:val="single" w:sz="12" w:space="0" w:color="auto"/>
            </w:tcBorders>
            <w:shd w:val="clear" w:color="auto" w:fill="auto"/>
            <w:vAlign w:val="center"/>
            <w:hideMark/>
          </w:tcPr>
          <w:p w14:paraId="0FAA5155" w14:textId="77777777" w:rsidR="00250935" w:rsidRDefault="00250935">
            <w:pPr>
              <w:jc w:val="right"/>
              <w:rPr>
                <w:color w:val="000000"/>
                <w:sz w:val="22"/>
                <w:szCs w:val="22"/>
              </w:rPr>
            </w:pPr>
            <w:r>
              <w:rPr>
                <w:color w:val="000000"/>
                <w:sz w:val="22"/>
                <w:szCs w:val="22"/>
              </w:rPr>
              <w:t>48.782,75</w:t>
            </w:r>
          </w:p>
        </w:tc>
      </w:tr>
      <w:tr w:rsidR="00250935" w14:paraId="0E834EDC" w14:textId="77777777" w:rsidTr="00250935">
        <w:trPr>
          <w:trHeight w:val="288"/>
        </w:trPr>
        <w:tc>
          <w:tcPr>
            <w:tcW w:w="3856" w:type="pct"/>
            <w:tcBorders>
              <w:top w:val="nil"/>
              <w:left w:val="single" w:sz="12" w:space="0" w:color="auto"/>
              <w:bottom w:val="nil"/>
              <w:right w:val="single" w:sz="12" w:space="0" w:color="auto"/>
            </w:tcBorders>
            <w:shd w:val="clear" w:color="auto" w:fill="auto"/>
            <w:vAlign w:val="center"/>
            <w:hideMark/>
          </w:tcPr>
          <w:p w14:paraId="32314CBC" w14:textId="77777777" w:rsidR="00250935" w:rsidRDefault="00250935">
            <w:pPr>
              <w:rPr>
                <w:b/>
                <w:bCs/>
                <w:color w:val="000000"/>
                <w:sz w:val="22"/>
                <w:szCs w:val="22"/>
              </w:rPr>
            </w:pPr>
            <w:r>
              <w:rPr>
                <w:b/>
                <w:bCs/>
                <w:color w:val="000000"/>
                <w:sz w:val="22"/>
                <w:szCs w:val="22"/>
              </w:rPr>
              <w:t>Υπόλοιπο 31.12.2019</w:t>
            </w:r>
          </w:p>
        </w:tc>
        <w:tc>
          <w:tcPr>
            <w:tcW w:w="1144" w:type="pct"/>
            <w:tcBorders>
              <w:top w:val="nil"/>
              <w:left w:val="nil"/>
              <w:bottom w:val="double" w:sz="6" w:space="0" w:color="auto"/>
              <w:right w:val="single" w:sz="12" w:space="0" w:color="auto"/>
            </w:tcBorders>
            <w:shd w:val="clear" w:color="auto" w:fill="auto"/>
            <w:vAlign w:val="center"/>
            <w:hideMark/>
          </w:tcPr>
          <w:p w14:paraId="28598D02" w14:textId="77777777" w:rsidR="00250935" w:rsidRDefault="00250935">
            <w:pPr>
              <w:jc w:val="right"/>
              <w:rPr>
                <w:color w:val="000000"/>
                <w:sz w:val="22"/>
                <w:szCs w:val="22"/>
              </w:rPr>
            </w:pPr>
            <w:r>
              <w:rPr>
                <w:color w:val="000000"/>
                <w:sz w:val="22"/>
                <w:szCs w:val="22"/>
              </w:rPr>
              <w:t>48.782,75</w:t>
            </w:r>
          </w:p>
        </w:tc>
      </w:tr>
      <w:tr w:rsidR="00250935" w14:paraId="72708436" w14:textId="77777777" w:rsidTr="00250935">
        <w:trPr>
          <w:trHeight w:val="288"/>
        </w:trPr>
        <w:tc>
          <w:tcPr>
            <w:tcW w:w="3856" w:type="pct"/>
            <w:tcBorders>
              <w:top w:val="nil"/>
              <w:left w:val="single" w:sz="12" w:space="0" w:color="auto"/>
              <w:bottom w:val="nil"/>
              <w:right w:val="single" w:sz="12" w:space="0" w:color="auto"/>
            </w:tcBorders>
            <w:shd w:val="clear" w:color="auto" w:fill="auto"/>
            <w:vAlign w:val="center"/>
            <w:hideMark/>
          </w:tcPr>
          <w:p w14:paraId="5E750C30" w14:textId="77777777" w:rsidR="00250935" w:rsidRDefault="00250935">
            <w:pPr>
              <w:rPr>
                <w:b/>
                <w:bCs/>
                <w:color w:val="000000"/>
                <w:sz w:val="22"/>
                <w:szCs w:val="22"/>
              </w:rPr>
            </w:pPr>
            <w:r>
              <w:rPr>
                <w:b/>
                <w:bCs/>
                <w:color w:val="000000"/>
                <w:sz w:val="22"/>
                <w:szCs w:val="22"/>
              </w:rPr>
              <w:t>Σωρευμένες αποσβέσεις και απομειώσεις</w:t>
            </w:r>
          </w:p>
        </w:tc>
        <w:tc>
          <w:tcPr>
            <w:tcW w:w="1144" w:type="pct"/>
            <w:tcBorders>
              <w:top w:val="nil"/>
              <w:left w:val="nil"/>
              <w:bottom w:val="nil"/>
              <w:right w:val="single" w:sz="12" w:space="0" w:color="auto"/>
            </w:tcBorders>
            <w:shd w:val="clear" w:color="auto" w:fill="auto"/>
            <w:vAlign w:val="center"/>
            <w:hideMark/>
          </w:tcPr>
          <w:p w14:paraId="4B61651A" w14:textId="77777777" w:rsidR="00250935" w:rsidRDefault="00250935">
            <w:pPr>
              <w:rPr>
                <w:color w:val="000000"/>
                <w:sz w:val="22"/>
                <w:szCs w:val="22"/>
              </w:rPr>
            </w:pPr>
            <w:r>
              <w:rPr>
                <w:color w:val="000000"/>
                <w:sz w:val="22"/>
                <w:szCs w:val="22"/>
              </w:rPr>
              <w:t> </w:t>
            </w:r>
          </w:p>
        </w:tc>
      </w:tr>
      <w:tr w:rsidR="00250935" w14:paraId="4F8ECAF6" w14:textId="77777777" w:rsidTr="00250935">
        <w:trPr>
          <w:trHeight w:val="276"/>
        </w:trPr>
        <w:tc>
          <w:tcPr>
            <w:tcW w:w="3856" w:type="pct"/>
            <w:tcBorders>
              <w:top w:val="nil"/>
              <w:left w:val="single" w:sz="12" w:space="0" w:color="auto"/>
              <w:bottom w:val="nil"/>
              <w:right w:val="single" w:sz="12" w:space="0" w:color="auto"/>
            </w:tcBorders>
            <w:shd w:val="clear" w:color="auto" w:fill="auto"/>
            <w:vAlign w:val="center"/>
            <w:hideMark/>
          </w:tcPr>
          <w:p w14:paraId="618D0FCA" w14:textId="77777777" w:rsidR="00250935" w:rsidRDefault="00250935">
            <w:pPr>
              <w:rPr>
                <w:color w:val="000000"/>
                <w:sz w:val="22"/>
                <w:szCs w:val="22"/>
              </w:rPr>
            </w:pPr>
            <w:r>
              <w:rPr>
                <w:color w:val="000000"/>
                <w:sz w:val="22"/>
                <w:szCs w:val="22"/>
              </w:rPr>
              <w:t>Υπόλοιπο 1.1.2019</w:t>
            </w:r>
          </w:p>
        </w:tc>
        <w:tc>
          <w:tcPr>
            <w:tcW w:w="1144" w:type="pct"/>
            <w:tcBorders>
              <w:top w:val="nil"/>
              <w:left w:val="nil"/>
              <w:bottom w:val="nil"/>
              <w:right w:val="single" w:sz="12" w:space="0" w:color="auto"/>
            </w:tcBorders>
            <w:shd w:val="clear" w:color="auto" w:fill="auto"/>
            <w:vAlign w:val="center"/>
            <w:hideMark/>
          </w:tcPr>
          <w:p w14:paraId="7BA3A21A" w14:textId="77777777" w:rsidR="00250935" w:rsidRDefault="00250935">
            <w:pPr>
              <w:jc w:val="right"/>
              <w:rPr>
                <w:color w:val="000000"/>
                <w:sz w:val="22"/>
                <w:szCs w:val="22"/>
              </w:rPr>
            </w:pPr>
            <w:r>
              <w:rPr>
                <w:color w:val="000000"/>
                <w:sz w:val="22"/>
                <w:szCs w:val="22"/>
              </w:rPr>
              <w:t>-38.477,43</w:t>
            </w:r>
          </w:p>
        </w:tc>
      </w:tr>
      <w:tr w:rsidR="00250935" w14:paraId="7612CC3D" w14:textId="77777777" w:rsidTr="00250935">
        <w:trPr>
          <w:trHeight w:val="276"/>
        </w:trPr>
        <w:tc>
          <w:tcPr>
            <w:tcW w:w="3856" w:type="pct"/>
            <w:tcBorders>
              <w:top w:val="nil"/>
              <w:left w:val="single" w:sz="12" w:space="0" w:color="auto"/>
              <w:bottom w:val="nil"/>
              <w:right w:val="single" w:sz="12" w:space="0" w:color="auto"/>
            </w:tcBorders>
            <w:shd w:val="clear" w:color="auto" w:fill="auto"/>
            <w:vAlign w:val="center"/>
            <w:hideMark/>
          </w:tcPr>
          <w:p w14:paraId="340D2199" w14:textId="77777777" w:rsidR="00250935" w:rsidRDefault="00250935">
            <w:pPr>
              <w:rPr>
                <w:color w:val="000000"/>
                <w:sz w:val="22"/>
                <w:szCs w:val="22"/>
              </w:rPr>
            </w:pPr>
            <w:r>
              <w:rPr>
                <w:color w:val="000000"/>
                <w:sz w:val="22"/>
                <w:szCs w:val="22"/>
              </w:rPr>
              <w:t>Αποσβέσεις περιόδου</w:t>
            </w:r>
          </w:p>
        </w:tc>
        <w:tc>
          <w:tcPr>
            <w:tcW w:w="1144" w:type="pct"/>
            <w:tcBorders>
              <w:top w:val="nil"/>
              <w:left w:val="nil"/>
              <w:bottom w:val="nil"/>
              <w:right w:val="single" w:sz="12" w:space="0" w:color="auto"/>
            </w:tcBorders>
            <w:shd w:val="clear" w:color="auto" w:fill="auto"/>
            <w:vAlign w:val="center"/>
            <w:hideMark/>
          </w:tcPr>
          <w:p w14:paraId="76CEC970" w14:textId="77777777" w:rsidR="00250935" w:rsidRDefault="00250935">
            <w:pPr>
              <w:jc w:val="right"/>
              <w:rPr>
                <w:color w:val="000000"/>
                <w:sz w:val="22"/>
                <w:szCs w:val="22"/>
              </w:rPr>
            </w:pPr>
            <w:r>
              <w:rPr>
                <w:color w:val="000000"/>
                <w:sz w:val="22"/>
                <w:szCs w:val="22"/>
              </w:rPr>
              <w:t>-693,71</w:t>
            </w:r>
          </w:p>
        </w:tc>
      </w:tr>
      <w:tr w:rsidR="00250935" w14:paraId="5E0BC65A" w14:textId="77777777" w:rsidTr="00250935">
        <w:trPr>
          <w:trHeight w:val="276"/>
        </w:trPr>
        <w:tc>
          <w:tcPr>
            <w:tcW w:w="3856" w:type="pct"/>
            <w:tcBorders>
              <w:top w:val="nil"/>
              <w:left w:val="single" w:sz="12" w:space="0" w:color="auto"/>
              <w:bottom w:val="nil"/>
              <w:right w:val="single" w:sz="12" w:space="0" w:color="auto"/>
            </w:tcBorders>
            <w:shd w:val="clear" w:color="auto" w:fill="auto"/>
            <w:vAlign w:val="center"/>
            <w:hideMark/>
          </w:tcPr>
          <w:p w14:paraId="4A32386B" w14:textId="77777777" w:rsidR="00250935" w:rsidRDefault="00250935">
            <w:pPr>
              <w:rPr>
                <w:color w:val="000000"/>
                <w:sz w:val="22"/>
                <w:szCs w:val="22"/>
              </w:rPr>
            </w:pPr>
            <w:r>
              <w:rPr>
                <w:color w:val="000000"/>
                <w:sz w:val="22"/>
                <w:szCs w:val="22"/>
              </w:rPr>
              <w:t>Μειώσεις αποσβέσεων περιόδου</w:t>
            </w:r>
          </w:p>
        </w:tc>
        <w:tc>
          <w:tcPr>
            <w:tcW w:w="1144" w:type="pct"/>
            <w:tcBorders>
              <w:top w:val="nil"/>
              <w:left w:val="nil"/>
              <w:bottom w:val="nil"/>
              <w:right w:val="single" w:sz="12" w:space="0" w:color="auto"/>
            </w:tcBorders>
            <w:shd w:val="clear" w:color="auto" w:fill="auto"/>
            <w:vAlign w:val="center"/>
            <w:hideMark/>
          </w:tcPr>
          <w:p w14:paraId="03AB4F3F" w14:textId="77777777" w:rsidR="00250935" w:rsidRDefault="00250935">
            <w:pPr>
              <w:jc w:val="right"/>
              <w:rPr>
                <w:color w:val="000000"/>
                <w:sz w:val="22"/>
                <w:szCs w:val="22"/>
              </w:rPr>
            </w:pPr>
            <w:r>
              <w:rPr>
                <w:color w:val="000000"/>
                <w:sz w:val="22"/>
                <w:szCs w:val="22"/>
              </w:rPr>
              <w:t>527,22</w:t>
            </w:r>
          </w:p>
        </w:tc>
      </w:tr>
      <w:tr w:rsidR="00250935" w14:paraId="5DA4FA63" w14:textId="77777777" w:rsidTr="00250935">
        <w:trPr>
          <w:trHeight w:val="288"/>
        </w:trPr>
        <w:tc>
          <w:tcPr>
            <w:tcW w:w="3856" w:type="pct"/>
            <w:tcBorders>
              <w:top w:val="nil"/>
              <w:left w:val="single" w:sz="12" w:space="0" w:color="auto"/>
              <w:bottom w:val="nil"/>
              <w:right w:val="single" w:sz="12" w:space="0" w:color="auto"/>
            </w:tcBorders>
            <w:shd w:val="clear" w:color="auto" w:fill="auto"/>
            <w:vAlign w:val="center"/>
            <w:hideMark/>
          </w:tcPr>
          <w:p w14:paraId="04C559D1" w14:textId="77777777" w:rsidR="00250935" w:rsidRDefault="00250935">
            <w:pPr>
              <w:rPr>
                <w:b/>
                <w:bCs/>
                <w:color w:val="000000"/>
                <w:sz w:val="22"/>
                <w:szCs w:val="22"/>
              </w:rPr>
            </w:pPr>
            <w:r>
              <w:rPr>
                <w:b/>
                <w:bCs/>
                <w:color w:val="000000"/>
                <w:sz w:val="22"/>
                <w:szCs w:val="22"/>
              </w:rPr>
              <w:t>Υπόλοιπο 31.12.2019</w:t>
            </w:r>
          </w:p>
        </w:tc>
        <w:tc>
          <w:tcPr>
            <w:tcW w:w="1144" w:type="pct"/>
            <w:tcBorders>
              <w:top w:val="nil"/>
              <w:left w:val="nil"/>
              <w:bottom w:val="double" w:sz="6" w:space="0" w:color="auto"/>
              <w:right w:val="single" w:sz="12" w:space="0" w:color="auto"/>
            </w:tcBorders>
            <w:shd w:val="clear" w:color="auto" w:fill="auto"/>
            <w:vAlign w:val="center"/>
            <w:hideMark/>
          </w:tcPr>
          <w:p w14:paraId="221368B7" w14:textId="77777777" w:rsidR="00250935" w:rsidRDefault="00250935">
            <w:pPr>
              <w:jc w:val="right"/>
              <w:rPr>
                <w:color w:val="000000"/>
                <w:sz w:val="22"/>
                <w:szCs w:val="22"/>
              </w:rPr>
            </w:pPr>
            <w:r>
              <w:rPr>
                <w:color w:val="000000"/>
                <w:sz w:val="22"/>
                <w:szCs w:val="22"/>
              </w:rPr>
              <w:t>-38.643,92</w:t>
            </w:r>
          </w:p>
        </w:tc>
      </w:tr>
      <w:tr w:rsidR="00250935" w14:paraId="55E13D44" w14:textId="77777777" w:rsidTr="00250935">
        <w:trPr>
          <w:trHeight w:val="300"/>
        </w:trPr>
        <w:tc>
          <w:tcPr>
            <w:tcW w:w="3856" w:type="pct"/>
            <w:tcBorders>
              <w:top w:val="nil"/>
              <w:left w:val="single" w:sz="12" w:space="0" w:color="auto"/>
              <w:bottom w:val="nil"/>
              <w:right w:val="single" w:sz="12" w:space="0" w:color="auto"/>
            </w:tcBorders>
            <w:shd w:val="clear" w:color="auto" w:fill="auto"/>
            <w:vAlign w:val="center"/>
            <w:hideMark/>
          </w:tcPr>
          <w:p w14:paraId="1D2693DD" w14:textId="77777777" w:rsidR="00250935" w:rsidRDefault="00250935">
            <w:pPr>
              <w:rPr>
                <w:b/>
                <w:bCs/>
                <w:color w:val="000000"/>
                <w:sz w:val="22"/>
                <w:szCs w:val="22"/>
              </w:rPr>
            </w:pPr>
            <w:r>
              <w:rPr>
                <w:b/>
                <w:bCs/>
                <w:color w:val="000000"/>
                <w:sz w:val="22"/>
                <w:szCs w:val="22"/>
              </w:rPr>
              <w:t>Καθαρή λογιστική αξία 31.12.2019</w:t>
            </w:r>
          </w:p>
        </w:tc>
        <w:tc>
          <w:tcPr>
            <w:tcW w:w="1144" w:type="pct"/>
            <w:tcBorders>
              <w:top w:val="nil"/>
              <w:left w:val="nil"/>
              <w:bottom w:val="double" w:sz="6" w:space="0" w:color="auto"/>
              <w:right w:val="single" w:sz="12" w:space="0" w:color="auto"/>
            </w:tcBorders>
            <w:shd w:val="clear" w:color="auto" w:fill="auto"/>
            <w:vAlign w:val="center"/>
            <w:hideMark/>
          </w:tcPr>
          <w:p w14:paraId="6C034E56" w14:textId="77777777" w:rsidR="00250935" w:rsidRDefault="00250935">
            <w:pPr>
              <w:jc w:val="right"/>
              <w:rPr>
                <w:b/>
                <w:bCs/>
                <w:color w:val="000000"/>
                <w:sz w:val="22"/>
                <w:szCs w:val="22"/>
              </w:rPr>
            </w:pPr>
            <w:r>
              <w:rPr>
                <w:b/>
                <w:bCs/>
                <w:color w:val="000000"/>
                <w:sz w:val="22"/>
                <w:szCs w:val="22"/>
              </w:rPr>
              <w:t>10.138,83</w:t>
            </w:r>
          </w:p>
        </w:tc>
      </w:tr>
      <w:tr w:rsidR="00250935" w14:paraId="2E2B38F3" w14:textId="77777777" w:rsidTr="00250935">
        <w:trPr>
          <w:trHeight w:val="288"/>
        </w:trPr>
        <w:tc>
          <w:tcPr>
            <w:tcW w:w="3856" w:type="pct"/>
            <w:tcBorders>
              <w:top w:val="nil"/>
              <w:left w:val="single" w:sz="12" w:space="0" w:color="auto"/>
              <w:bottom w:val="nil"/>
              <w:right w:val="single" w:sz="12" w:space="0" w:color="auto"/>
            </w:tcBorders>
            <w:shd w:val="clear" w:color="auto" w:fill="auto"/>
            <w:vAlign w:val="center"/>
            <w:hideMark/>
          </w:tcPr>
          <w:p w14:paraId="3CF835A4" w14:textId="77777777" w:rsidR="00250935" w:rsidRDefault="00250935">
            <w:pPr>
              <w:rPr>
                <w:b/>
                <w:bCs/>
                <w:color w:val="000000"/>
                <w:sz w:val="22"/>
                <w:szCs w:val="22"/>
              </w:rPr>
            </w:pPr>
            <w:r>
              <w:rPr>
                <w:b/>
                <w:bCs/>
                <w:color w:val="000000"/>
                <w:sz w:val="22"/>
                <w:szCs w:val="22"/>
              </w:rPr>
              <w:t xml:space="preserve">Αξία κτήσεως </w:t>
            </w:r>
          </w:p>
        </w:tc>
        <w:tc>
          <w:tcPr>
            <w:tcW w:w="1144" w:type="pct"/>
            <w:tcBorders>
              <w:top w:val="nil"/>
              <w:left w:val="nil"/>
              <w:bottom w:val="nil"/>
              <w:right w:val="single" w:sz="12" w:space="0" w:color="auto"/>
            </w:tcBorders>
            <w:shd w:val="clear" w:color="auto" w:fill="auto"/>
            <w:vAlign w:val="center"/>
            <w:hideMark/>
          </w:tcPr>
          <w:p w14:paraId="192EA98D" w14:textId="77777777" w:rsidR="00250935" w:rsidRDefault="00250935">
            <w:pPr>
              <w:rPr>
                <w:color w:val="000000"/>
                <w:sz w:val="22"/>
                <w:szCs w:val="22"/>
              </w:rPr>
            </w:pPr>
            <w:r>
              <w:rPr>
                <w:color w:val="000000"/>
                <w:sz w:val="22"/>
                <w:szCs w:val="22"/>
              </w:rPr>
              <w:t> </w:t>
            </w:r>
          </w:p>
        </w:tc>
      </w:tr>
      <w:tr w:rsidR="00250935" w14:paraId="53A71211" w14:textId="77777777" w:rsidTr="00250935">
        <w:trPr>
          <w:trHeight w:val="276"/>
        </w:trPr>
        <w:tc>
          <w:tcPr>
            <w:tcW w:w="3856" w:type="pct"/>
            <w:tcBorders>
              <w:top w:val="nil"/>
              <w:left w:val="single" w:sz="12" w:space="0" w:color="auto"/>
              <w:bottom w:val="nil"/>
              <w:right w:val="single" w:sz="12" w:space="0" w:color="auto"/>
            </w:tcBorders>
            <w:shd w:val="clear" w:color="auto" w:fill="auto"/>
            <w:vAlign w:val="center"/>
            <w:hideMark/>
          </w:tcPr>
          <w:p w14:paraId="4B349AFE" w14:textId="77777777" w:rsidR="00250935" w:rsidRDefault="00250935">
            <w:pPr>
              <w:rPr>
                <w:color w:val="000000"/>
                <w:sz w:val="22"/>
                <w:szCs w:val="22"/>
              </w:rPr>
            </w:pPr>
            <w:r>
              <w:rPr>
                <w:color w:val="000000"/>
                <w:sz w:val="22"/>
                <w:szCs w:val="22"/>
              </w:rPr>
              <w:t>Υπόλοιπο 1.1.2020</w:t>
            </w:r>
          </w:p>
        </w:tc>
        <w:tc>
          <w:tcPr>
            <w:tcW w:w="1144" w:type="pct"/>
            <w:tcBorders>
              <w:top w:val="nil"/>
              <w:left w:val="nil"/>
              <w:bottom w:val="nil"/>
              <w:right w:val="single" w:sz="12" w:space="0" w:color="auto"/>
            </w:tcBorders>
            <w:shd w:val="clear" w:color="auto" w:fill="auto"/>
            <w:vAlign w:val="center"/>
            <w:hideMark/>
          </w:tcPr>
          <w:p w14:paraId="3C2ADE83" w14:textId="77777777" w:rsidR="00250935" w:rsidRDefault="00250935">
            <w:pPr>
              <w:jc w:val="right"/>
              <w:rPr>
                <w:color w:val="000000"/>
                <w:sz w:val="22"/>
                <w:szCs w:val="22"/>
              </w:rPr>
            </w:pPr>
            <w:r>
              <w:rPr>
                <w:color w:val="000000"/>
                <w:sz w:val="22"/>
                <w:szCs w:val="22"/>
              </w:rPr>
              <w:t>48.782,75</w:t>
            </w:r>
          </w:p>
        </w:tc>
      </w:tr>
      <w:tr w:rsidR="00250935" w14:paraId="1C1C992F" w14:textId="77777777" w:rsidTr="00250935">
        <w:trPr>
          <w:trHeight w:val="288"/>
        </w:trPr>
        <w:tc>
          <w:tcPr>
            <w:tcW w:w="3856" w:type="pct"/>
            <w:tcBorders>
              <w:top w:val="nil"/>
              <w:left w:val="single" w:sz="12" w:space="0" w:color="auto"/>
              <w:bottom w:val="nil"/>
              <w:right w:val="single" w:sz="12" w:space="0" w:color="auto"/>
            </w:tcBorders>
            <w:shd w:val="clear" w:color="auto" w:fill="auto"/>
            <w:vAlign w:val="center"/>
            <w:hideMark/>
          </w:tcPr>
          <w:p w14:paraId="4B6D0525" w14:textId="77777777" w:rsidR="00250935" w:rsidRDefault="00250935">
            <w:pPr>
              <w:rPr>
                <w:b/>
                <w:bCs/>
                <w:color w:val="000000"/>
                <w:sz w:val="22"/>
                <w:szCs w:val="22"/>
              </w:rPr>
            </w:pPr>
            <w:r>
              <w:rPr>
                <w:b/>
                <w:bCs/>
                <w:color w:val="000000"/>
                <w:sz w:val="22"/>
                <w:szCs w:val="22"/>
              </w:rPr>
              <w:t>Υπόλοιπο 31.12.2020</w:t>
            </w:r>
          </w:p>
        </w:tc>
        <w:tc>
          <w:tcPr>
            <w:tcW w:w="1144" w:type="pct"/>
            <w:tcBorders>
              <w:top w:val="nil"/>
              <w:left w:val="nil"/>
              <w:bottom w:val="double" w:sz="6" w:space="0" w:color="auto"/>
              <w:right w:val="single" w:sz="12" w:space="0" w:color="auto"/>
            </w:tcBorders>
            <w:shd w:val="clear" w:color="auto" w:fill="auto"/>
            <w:vAlign w:val="center"/>
            <w:hideMark/>
          </w:tcPr>
          <w:p w14:paraId="306B36A8" w14:textId="77777777" w:rsidR="00250935" w:rsidRDefault="00250935">
            <w:pPr>
              <w:jc w:val="right"/>
              <w:rPr>
                <w:color w:val="000000"/>
                <w:sz w:val="22"/>
                <w:szCs w:val="22"/>
              </w:rPr>
            </w:pPr>
            <w:r>
              <w:rPr>
                <w:color w:val="000000"/>
                <w:sz w:val="22"/>
                <w:szCs w:val="22"/>
              </w:rPr>
              <w:t>48.782,75</w:t>
            </w:r>
          </w:p>
        </w:tc>
      </w:tr>
      <w:tr w:rsidR="00250935" w14:paraId="18D6CC54" w14:textId="77777777" w:rsidTr="00250935">
        <w:trPr>
          <w:trHeight w:val="288"/>
        </w:trPr>
        <w:tc>
          <w:tcPr>
            <w:tcW w:w="3856" w:type="pct"/>
            <w:tcBorders>
              <w:top w:val="nil"/>
              <w:left w:val="single" w:sz="12" w:space="0" w:color="auto"/>
              <w:bottom w:val="nil"/>
              <w:right w:val="single" w:sz="12" w:space="0" w:color="auto"/>
            </w:tcBorders>
            <w:shd w:val="clear" w:color="auto" w:fill="auto"/>
            <w:vAlign w:val="center"/>
            <w:hideMark/>
          </w:tcPr>
          <w:p w14:paraId="102D64DD" w14:textId="77777777" w:rsidR="00250935" w:rsidRDefault="00250935">
            <w:pPr>
              <w:rPr>
                <w:b/>
                <w:bCs/>
                <w:color w:val="000000"/>
                <w:sz w:val="22"/>
                <w:szCs w:val="22"/>
              </w:rPr>
            </w:pPr>
            <w:r>
              <w:rPr>
                <w:b/>
                <w:bCs/>
                <w:color w:val="000000"/>
                <w:sz w:val="22"/>
                <w:szCs w:val="22"/>
              </w:rPr>
              <w:t>Σωρευμένες αποσβέσεις και απομειώσεις</w:t>
            </w:r>
          </w:p>
        </w:tc>
        <w:tc>
          <w:tcPr>
            <w:tcW w:w="1144" w:type="pct"/>
            <w:tcBorders>
              <w:top w:val="nil"/>
              <w:left w:val="nil"/>
              <w:bottom w:val="nil"/>
              <w:right w:val="single" w:sz="12" w:space="0" w:color="auto"/>
            </w:tcBorders>
            <w:shd w:val="clear" w:color="auto" w:fill="auto"/>
            <w:vAlign w:val="center"/>
            <w:hideMark/>
          </w:tcPr>
          <w:p w14:paraId="38831C05" w14:textId="77777777" w:rsidR="00250935" w:rsidRDefault="00250935">
            <w:pPr>
              <w:rPr>
                <w:color w:val="000000"/>
                <w:sz w:val="22"/>
                <w:szCs w:val="22"/>
              </w:rPr>
            </w:pPr>
            <w:r>
              <w:rPr>
                <w:color w:val="000000"/>
                <w:sz w:val="22"/>
                <w:szCs w:val="22"/>
              </w:rPr>
              <w:t> </w:t>
            </w:r>
          </w:p>
        </w:tc>
      </w:tr>
      <w:tr w:rsidR="00250935" w14:paraId="0BCA39EE" w14:textId="77777777" w:rsidTr="00250935">
        <w:trPr>
          <w:trHeight w:val="276"/>
        </w:trPr>
        <w:tc>
          <w:tcPr>
            <w:tcW w:w="3856" w:type="pct"/>
            <w:tcBorders>
              <w:top w:val="nil"/>
              <w:left w:val="single" w:sz="12" w:space="0" w:color="auto"/>
              <w:bottom w:val="nil"/>
              <w:right w:val="single" w:sz="12" w:space="0" w:color="auto"/>
            </w:tcBorders>
            <w:shd w:val="clear" w:color="auto" w:fill="auto"/>
            <w:vAlign w:val="center"/>
            <w:hideMark/>
          </w:tcPr>
          <w:p w14:paraId="03696432" w14:textId="77777777" w:rsidR="00250935" w:rsidRDefault="00250935">
            <w:pPr>
              <w:rPr>
                <w:color w:val="000000"/>
                <w:sz w:val="22"/>
                <w:szCs w:val="22"/>
              </w:rPr>
            </w:pPr>
            <w:r>
              <w:rPr>
                <w:color w:val="000000"/>
                <w:sz w:val="22"/>
                <w:szCs w:val="22"/>
              </w:rPr>
              <w:t>Υπόλοιπο 1.1.2020</w:t>
            </w:r>
          </w:p>
        </w:tc>
        <w:tc>
          <w:tcPr>
            <w:tcW w:w="1144" w:type="pct"/>
            <w:tcBorders>
              <w:top w:val="nil"/>
              <w:left w:val="nil"/>
              <w:bottom w:val="nil"/>
              <w:right w:val="single" w:sz="12" w:space="0" w:color="auto"/>
            </w:tcBorders>
            <w:shd w:val="clear" w:color="auto" w:fill="auto"/>
            <w:vAlign w:val="center"/>
            <w:hideMark/>
          </w:tcPr>
          <w:p w14:paraId="7D35960C" w14:textId="77777777" w:rsidR="00250935" w:rsidRDefault="00250935">
            <w:pPr>
              <w:jc w:val="right"/>
              <w:rPr>
                <w:color w:val="000000"/>
                <w:sz w:val="22"/>
                <w:szCs w:val="22"/>
              </w:rPr>
            </w:pPr>
            <w:r>
              <w:rPr>
                <w:color w:val="000000"/>
                <w:sz w:val="22"/>
                <w:szCs w:val="22"/>
              </w:rPr>
              <w:t>-38.643,92</w:t>
            </w:r>
          </w:p>
        </w:tc>
      </w:tr>
      <w:tr w:rsidR="00250935" w14:paraId="622A0D4A" w14:textId="77777777" w:rsidTr="00250935">
        <w:trPr>
          <w:trHeight w:val="276"/>
        </w:trPr>
        <w:tc>
          <w:tcPr>
            <w:tcW w:w="3856" w:type="pct"/>
            <w:tcBorders>
              <w:top w:val="nil"/>
              <w:left w:val="single" w:sz="12" w:space="0" w:color="auto"/>
              <w:bottom w:val="nil"/>
              <w:right w:val="single" w:sz="12" w:space="0" w:color="auto"/>
            </w:tcBorders>
            <w:shd w:val="clear" w:color="auto" w:fill="auto"/>
            <w:vAlign w:val="center"/>
            <w:hideMark/>
          </w:tcPr>
          <w:p w14:paraId="681D24C4" w14:textId="77777777" w:rsidR="00250935" w:rsidRDefault="00250935">
            <w:pPr>
              <w:rPr>
                <w:color w:val="000000"/>
                <w:sz w:val="22"/>
                <w:szCs w:val="22"/>
              </w:rPr>
            </w:pPr>
            <w:r>
              <w:rPr>
                <w:color w:val="000000"/>
                <w:sz w:val="22"/>
                <w:szCs w:val="22"/>
              </w:rPr>
              <w:t>Αποσβέσεις περιόδου</w:t>
            </w:r>
          </w:p>
        </w:tc>
        <w:tc>
          <w:tcPr>
            <w:tcW w:w="1144" w:type="pct"/>
            <w:tcBorders>
              <w:top w:val="nil"/>
              <w:left w:val="nil"/>
              <w:bottom w:val="nil"/>
              <w:right w:val="single" w:sz="12" w:space="0" w:color="auto"/>
            </w:tcBorders>
            <w:shd w:val="clear" w:color="auto" w:fill="auto"/>
            <w:vAlign w:val="center"/>
            <w:hideMark/>
          </w:tcPr>
          <w:p w14:paraId="41187414" w14:textId="77777777" w:rsidR="00250935" w:rsidRDefault="00250935">
            <w:pPr>
              <w:jc w:val="right"/>
              <w:rPr>
                <w:color w:val="000000"/>
                <w:sz w:val="22"/>
                <w:szCs w:val="22"/>
              </w:rPr>
            </w:pPr>
            <w:r>
              <w:rPr>
                <w:color w:val="000000"/>
                <w:sz w:val="22"/>
                <w:szCs w:val="22"/>
              </w:rPr>
              <w:t>-138,72</w:t>
            </w:r>
          </w:p>
        </w:tc>
      </w:tr>
      <w:tr w:rsidR="00250935" w14:paraId="3860F0EE" w14:textId="77777777" w:rsidTr="00250935">
        <w:trPr>
          <w:trHeight w:val="288"/>
        </w:trPr>
        <w:tc>
          <w:tcPr>
            <w:tcW w:w="3856" w:type="pct"/>
            <w:tcBorders>
              <w:top w:val="nil"/>
              <w:left w:val="single" w:sz="12" w:space="0" w:color="auto"/>
              <w:bottom w:val="nil"/>
              <w:right w:val="single" w:sz="12" w:space="0" w:color="auto"/>
            </w:tcBorders>
            <w:shd w:val="clear" w:color="auto" w:fill="auto"/>
            <w:vAlign w:val="center"/>
            <w:hideMark/>
          </w:tcPr>
          <w:p w14:paraId="024CAA8D" w14:textId="77777777" w:rsidR="00250935" w:rsidRDefault="00250935">
            <w:pPr>
              <w:rPr>
                <w:b/>
                <w:bCs/>
                <w:color w:val="000000"/>
                <w:sz w:val="22"/>
                <w:szCs w:val="22"/>
              </w:rPr>
            </w:pPr>
            <w:r>
              <w:rPr>
                <w:b/>
                <w:bCs/>
                <w:color w:val="000000"/>
                <w:sz w:val="22"/>
                <w:szCs w:val="22"/>
              </w:rPr>
              <w:t>Υπόλοιπο 31.12.2020</w:t>
            </w:r>
          </w:p>
        </w:tc>
        <w:tc>
          <w:tcPr>
            <w:tcW w:w="1144" w:type="pct"/>
            <w:tcBorders>
              <w:top w:val="nil"/>
              <w:left w:val="nil"/>
              <w:bottom w:val="double" w:sz="6" w:space="0" w:color="auto"/>
              <w:right w:val="single" w:sz="12" w:space="0" w:color="auto"/>
            </w:tcBorders>
            <w:shd w:val="clear" w:color="auto" w:fill="auto"/>
            <w:vAlign w:val="center"/>
            <w:hideMark/>
          </w:tcPr>
          <w:p w14:paraId="52378E75" w14:textId="77777777" w:rsidR="00250935" w:rsidRDefault="00250935">
            <w:pPr>
              <w:jc w:val="right"/>
              <w:rPr>
                <w:color w:val="000000"/>
                <w:sz w:val="22"/>
                <w:szCs w:val="22"/>
              </w:rPr>
            </w:pPr>
            <w:r>
              <w:rPr>
                <w:color w:val="000000"/>
                <w:sz w:val="22"/>
                <w:szCs w:val="22"/>
              </w:rPr>
              <w:t>-38.782,64</w:t>
            </w:r>
          </w:p>
        </w:tc>
      </w:tr>
      <w:tr w:rsidR="00250935" w14:paraId="7A8CCDC0" w14:textId="77777777" w:rsidTr="00250935">
        <w:trPr>
          <w:trHeight w:val="300"/>
        </w:trPr>
        <w:tc>
          <w:tcPr>
            <w:tcW w:w="3856" w:type="pct"/>
            <w:tcBorders>
              <w:top w:val="nil"/>
              <w:left w:val="single" w:sz="12" w:space="0" w:color="auto"/>
              <w:bottom w:val="single" w:sz="12" w:space="0" w:color="auto"/>
              <w:right w:val="single" w:sz="12" w:space="0" w:color="auto"/>
            </w:tcBorders>
            <w:shd w:val="clear" w:color="auto" w:fill="auto"/>
            <w:vAlign w:val="center"/>
            <w:hideMark/>
          </w:tcPr>
          <w:p w14:paraId="7A079D72" w14:textId="77777777" w:rsidR="00250935" w:rsidRDefault="00250935">
            <w:pPr>
              <w:rPr>
                <w:b/>
                <w:bCs/>
                <w:color w:val="000000"/>
                <w:sz w:val="22"/>
                <w:szCs w:val="22"/>
              </w:rPr>
            </w:pPr>
            <w:r>
              <w:rPr>
                <w:b/>
                <w:bCs/>
                <w:color w:val="000000"/>
                <w:sz w:val="22"/>
                <w:szCs w:val="22"/>
              </w:rPr>
              <w:t>Καθαρή λογιστική αξία 31.12.2020</w:t>
            </w:r>
          </w:p>
        </w:tc>
        <w:tc>
          <w:tcPr>
            <w:tcW w:w="1144" w:type="pct"/>
            <w:tcBorders>
              <w:top w:val="nil"/>
              <w:left w:val="nil"/>
              <w:bottom w:val="double" w:sz="6" w:space="0" w:color="auto"/>
              <w:right w:val="single" w:sz="12" w:space="0" w:color="auto"/>
            </w:tcBorders>
            <w:shd w:val="clear" w:color="auto" w:fill="auto"/>
            <w:vAlign w:val="center"/>
            <w:hideMark/>
          </w:tcPr>
          <w:p w14:paraId="11300718" w14:textId="77777777" w:rsidR="00250935" w:rsidRDefault="00250935">
            <w:pPr>
              <w:jc w:val="right"/>
              <w:rPr>
                <w:b/>
                <w:bCs/>
                <w:color w:val="000000"/>
                <w:sz w:val="22"/>
                <w:szCs w:val="22"/>
              </w:rPr>
            </w:pPr>
            <w:r>
              <w:rPr>
                <w:b/>
                <w:bCs/>
                <w:color w:val="000000"/>
                <w:sz w:val="22"/>
                <w:szCs w:val="22"/>
              </w:rPr>
              <w:t>10.000,11</w:t>
            </w:r>
          </w:p>
        </w:tc>
      </w:tr>
    </w:tbl>
    <w:p w14:paraId="06BE3B23" w14:textId="77777777" w:rsidR="00B45F92" w:rsidRDefault="00B45F92" w:rsidP="003506D2">
      <w:pPr>
        <w:shd w:val="clear" w:color="auto" w:fill="FFFFFF"/>
        <w:spacing w:after="200" w:line="312" w:lineRule="auto"/>
        <w:ind w:left="284" w:right="14" w:hanging="284"/>
        <w:rPr>
          <w:b/>
          <w:sz w:val="22"/>
          <w:szCs w:val="22"/>
          <w:highlight w:val="yellow"/>
        </w:rPr>
      </w:pPr>
    </w:p>
    <w:p w14:paraId="4AEF4EE8" w14:textId="77777777" w:rsidR="00CA307D" w:rsidRPr="00B45F92" w:rsidRDefault="002C6135" w:rsidP="003506D2">
      <w:pPr>
        <w:pStyle w:val="1"/>
        <w:spacing w:line="312" w:lineRule="auto"/>
        <w:jc w:val="left"/>
      </w:pPr>
      <w:bookmarkStart w:id="32" w:name="_Toc488058539"/>
      <w:bookmarkStart w:id="33" w:name="_Toc15546000"/>
      <w:r w:rsidRPr="00B45F92">
        <w:t>7</w:t>
      </w:r>
      <w:r w:rsidR="00BA3252" w:rsidRPr="00B45F92">
        <w:t xml:space="preserve">. Χρηματοοικονομικά </w:t>
      </w:r>
      <w:r w:rsidR="00C75F51" w:rsidRPr="00B45F92">
        <w:t>περιουσιακ</w:t>
      </w:r>
      <w:r w:rsidR="00BA3252" w:rsidRPr="00B45F92">
        <w:t>ά</w:t>
      </w:r>
      <w:r w:rsidR="00C75F51" w:rsidRPr="00B45F92">
        <w:t xml:space="preserve"> στοιχεί</w:t>
      </w:r>
      <w:r w:rsidR="00BA3252" w:rsidRPr="00B45F92">
        <w:t>α</w:t>
      </w:r>
      <w:bookmarkEnd w:id="32"/>
      <w:bookmarkEnd w:id="33"/>
    </w:p>
    <w:p w14:paraId="59B30607" w14:textId="77777777" w:rsidR="00B45F92" w:rsidRPr="00B45F92" w:rsidRDefault="00B45F92" w:rsidP="003506D2">
      <w:pPr>
        <w:spacing w:line="312" w:lineRule="auto"/>
        <w:rPr>
          <w:lang w:val="x-none" w:eastAsia="en-US"/>
        </w:rPr>
      </w:pPr>
    </w:p>
    <w:p w14:paraId="43FB1C06" w14:textId="77777777" w:rsidR="00CA307D" w:rsidRPr="00B45F92" w:rsidRDefault="00CA307D" w:rsidP="003506D2">
      <w:pPr>
        <w:shd w:val="clear" w:color="auto" w:fill="FFFFFF"/>
        <w:spacing w:after="200" w:line="312" w:lineRule="auto"/>
        <w:ind w:left="284" w:right="14" w:hanging="284"/>
        <w:rPr>
          <w:b/>
          <w:sz w:val="22"/>
          <w:szCs w:val="22"/>
        </w:rPr>
      </w:pPr>
      <w:r w:rsidRPr="00B45F92">
        <w:rPr>
          <w:b/>
          <w:sz w:val="22"/>
          <w:szCs w:val="22"/>
        </w:rPr>
        <w:t>7.1 Αποτίμηση στην εύλογη αξία</w:t>
      </w:r>
    </w:p>
    <w:p w14:paraId="136EF816" w14:textId="77777777" w:rsidR="00A12EF0" w:rsidRPr="00B45F92" w:rsidRDefault="00A12EF0" w:rsidP="003506D2">
      <w:pPr>
        <w:shd w:val="clear" w:color="auto" w:fill="FFFFFF"/>
        <w:spacing w:after="200" w:line="312" w:lineRule="auto"/>
        <w:ind w:left="5" w:right="14" w:firstLine="562"/>
        <w:jc w:val="both"/>
      </w:pPr>
      <w:r w:rsidRPr="00B45F92">
        <w:rPr>
          <w:sz w:val="22"/>
          <w:szCs w:val="22"/>
        </w:rPr>
        <w:t xml:space="preserve">Δεν υπάρχουν χρηματοοικονομικά στοιχεία που να αποτιμώνται στην εύλογη αξία. </w:t>
      </w:r>
    </w:p>
    <w:p w14:paraId="233018AB" w14:textId="77777777" w:rsidR="00CA307D" w:rsidRPr="00B45F92" w:rsidRDefault="00CA307D" w:rsidP="003506D2">
      <w:pPr>
        <w:shd w:val="clear" w:color="auto" w:fill="FFFFFF"/>
        <w:spacing w:after="200" w:line="312" w:lineRule="auto"/>
        <w:ind w:left="284" w:right="14" w:hanging="284"/>
        <w:rPr>
          <w:b/>
          <w:sz w:val="22"/>
          <w:szCs w:val="22"/>
        </w:rPr>
      </w:pPr>
      <w:r w:rsidRPr="00B45F92">
        <w:rPr>
          <w:b/>
          <w:sz w:val="22"/>
          <w:szCs w:val="22"/>
        </w:rPr>
        <w:t>7.2 Αποτίμηση στο κόστος κτήσεως</w:t>
      </w:r>
    </w:p>
    <w:p w14:paraId="072F2633" w14:textId="77777777" w:rsidR="00BA3252" w:rsidRPr="00B45F92" w:rsidRDefault="00BA3252" w:rsidP="003506D2">
      <w:pPr>
        <w:shd w:val="clear" w:color="auto" w:fill="FFFFFF"/>
        <w:spacing w:after="200" w:line="312" w:lineRule="auto"/>
        <w:ind w:left="284" w:right="14" w:hanging="284"/>
        <w:rPr>
          <w:b/>
          <w:sz w:val="22"/>
          <w:szCs w:val="22"/>
        </w:rPr>
      </w:pPr>
      <w:r w:rsidRPr="00B45F92">
        <w:rPr>
          <w:b/>
          <w:sz w:val="22"/>
          <w:szCs w:val="22"/>
        </w:rPr>
        <w:t>7.2.1 Εμπορικές απαιτήσεις</w:t>
      </w:r>
    </w:p>
    <w:p w14:paraId="36D93058" w14:textId="77777777" w:rsidR="00A258EC" w:rsidRDefault="00A258EC" w:rsidP="003506D2">
      <w:pPr>
        <w:shd w:val="clear" w:color="auto" w:fill="FFFFFF"/>
        <w:spacing w:after="200" w:line="312" w:lineRule="auto"/>
        <w:ind w:left="284" w:right="14"/>
        <w:rPr>
          <w:sz w:val="22"/>
          <w:szCs w:val="22"/>
          <w:lang w:val="en-US"/>
        </w:rPr>
      </w:pPr>
      <w:r>
        <w:rPr>
          <w:sz w:val="22"/>
          <w:szCs w:val="22"/>
          <w:lang w:val="en-US"/>
        </w:rPr>
        <w:t xml:space="preserve">Oi </w:t>
      </w:r>
      <w:r w:rsidR="00BA3252" w:rsidRPr="00B45F92">
        <w:rPr>
          <w:sz w:val="22"/>
          <w:szCs w:val="22"/>
        </w:rPr>
        <w:t>εμπορικές απαιτήσεις</w:t>
      </w:r>
      <w:r>
        <w:rPr>
          <w:sz w:val="22"/>
          <w:szCs w:val="22"/>
        </w:rPr>
        <w:t xml:space="preserve"> αναλύονται:</w:t>
      </w:r>
    </w:p>
    <w:tbl>
      <w:tblPr>
        <w:tblW w:w="5000" w:type="pct"/>
        <w:tblLook w:val="04A0" w:firstRow="1" w:lastRow="0" w:firstColumn="1" w:lastColumn="0" w:noHBand="0" w:noVBand="1"/>
      </w:tblPr>
      <w:tblGrid>
        <w:gridCol w:w="5657"/>
        <w:gridCol w:w="1841"/>
        <w:gridCol w:w="2224"/>
      </w:tblGrid>
      <w:tr w:rsidR="00A258EC" w14:paraId="313AD570" w14:textId="77777777" w:rsidTr="00250935">
        <w:trPr>
          <w:trHeight w:val="300"/>
        </w:trPr>
        <w:tc>
          <w:tcPr>
            <w:tcW w:w="2909" w:type="pct"/>
            <w:tcBorders>
              <w:top w:val="single" w:sz="12" w:space="0" w:color="auto"/>
              <w:left w:val="single" w:sz="12" w:space="0" w:color="auto"/>
              <w:bottom w:val="single" w:sz="12" w:space="0" w:color="auto"/>
              <w:right w:val="single" w:sz="12" w:space="0" w:color="auto"/>
            </w:tcBorders>
            <w:shd w:val="clear" w:color="auto" w:fill="auto"/>
            <w:vAlign w:val="center"/>
            <w:hideMark/>
          </w:tcPr>
          <w:p w14:paraId="45207430" w14:textId="77777777" w:rsidR="00A258EC" w:rsidRDefault="00A258EC">
            <w:pPr>
              <w:rPr>
                <w:b/>
                <w:bCs/>
                <w:color w:val="000000"/>
                <w:sz w:val="22"/>
                <w:szCs w:val="22"/>
              </w:rPr>
            </w:pPr>
            <w:r>
              <w:rPr>
                <w:b/>
                <w:bCs/>
                <w:color w:val="000000"/>
                <w:sz w:val="22"/>
                <w:szCs w:val="22"/>
              </w:rPr>
              <w:t>Εμπορικές απαιτήσεις</w:t>
            </w:r>
          </w:p>
        </w:tc>
        <w:tc>
          <w:tcPr>
            <w:tcW w:w="947" w:type="pct"/>
            <w:tcBorders>
              <w:top w:val="single" w:sz="12" w:space="0" w:color="auto"/>
              <w:left w:val="nil"/>
              <w:bottom w:val="single" w:sz="12" w:space="0" w:color="auto"/>
              <w:right w:val="single" w:sz="12" w:space="0" w:color="auto"/>
            </w:tcBorders>
            <w:shd w:val="clear" w:color="auto" w:fill="auto"/>
            <w:vAlign w:val="center"/>
            <w:hideMark/>
          </w:tcPr>
          <w:p w14:paraId="09163593" w14:textId="77777777" w:rsidR="00A258EC" w:rsidRDefault="00250935">
            <w:pPr>
              <w:jc w:val="center"/>
              <w:rPr>
                <w:b/>
                <w:bCs/>
                <w:color w:val="000000"/>
                <w:sz w:val="22"/>
                <w:szCs w:val="22"/>
              </w:rPr>
            </w:pPr>
            <w:r>
              <w:rPr>
                <w:b/>
                <w:bCs/>
                <w:color w:val="000000"/>
                <w:sz w:val="22"/>
                <w:szCs w:val="22"/>
              </w:rPr>
              <w:t>31/12/20</w:t>
            </w:r>
          </w:p>
        </w:tc>
        <w:tc>
          <w:tcPr>
            <w:tcW w:w="1144" w:type="pct"/>
            <w:tcBorders>
              <w:top w:val="single" w:sz="12" w:space="0" w:color="auto"/>
              <w:left w:val="nil"/>
              <w:bottom w:val="single" w:sz="12" w:space="0" w:color="auto"/>
              <w:right w:val="single" w:sz="12" w:space="0" w:color="auto"/>
            </w:tcBorders>
            <w:shd w:val="clear" w:color="auto" w:fill="auto"/>
            <w:vAlign w:val="center"/>
            <w:hideMark/>
          </w:tcPr>
          <w:p w14:paraId="3411FD9A" w14:textId="77777777" w:rsidR="00A258EC" w:rsidRDefault="00A258EC">
            <w:pPr>
              <w:jc w:val="center"/>
              <w:rPr>
                <w:b/>
                <w:bCs/>
                <w:color w:val="000000"/>
                <w:sz w:val="22"/>
                <w:szCs w:val="22"/>
              </w:rPr>
            </w:pPr>
            <w:r>
              <w:rPr>
                <w:b/>
                <w:bCs/>
                <w:color w:val="000000"/>
                <w:sz w:val="22"/>
                <w:szCs w:val="22"/>
              </w:rPr>
              <w:t>31/12/1</w:t>
            </w:r>
            <w:r w:rsidR="00250935">
              <w:rPr>
                <w:b/>
                <w:bCs/>
                <w:color w:val="000000"/>
                <w:sz w:val="22"/>
                <w:szCs w:val="22"/>
              </w:rPr>
              <w:t>9</w:t>
            </w:r>
          </w:p>
        </w:tc>
      </w:tr>
      <w:tr w:rsidR="00A258EC" w14:paraId="1C196328" w14:textId="77777777" w:rsidTr="00250935">
        <w:trPr>
          <w:trHeight w:val="300"/>
        </w:trPr>
        <w:tc>
          <w:tcPr>
            <w:tcW w:w="2909" w:type="pct"/>
            <w:tcBorders>
              <w:top w:val="nil"/>
              <w:left w:val="single" w:sz="12" w:space="0" w:color="auto"/>
              <w:bottom w:val="nil"/>
              <w:right w:val="single" w:sz="12" w:space="0" w:color="auto"/>
            </w:tcBorders>
            <w:shd w:val="clear" w:color="auto" w:fill="auto"/>
            <w:vAlign w:val="center"/>
            <w:hideMark/>
          </w:tcPr>
          <w:p w14:paraId="391AF105" w14:textId="77777777" w:rsidR="00A258EC" w:rsidRDefault="00A258EC">
            <w:pPr>
              <w:rPr>
                <w:color w:val="000000"/>
                <w:sz w:val="22"/>
                <w:szCs w:val="22"/>
              </w:rPr>
            </w:pPr>
            <w:r>
              <w:rPr>
                <w:color w:val="000000"/>
                <w:sz w:val="22"/>
                <w:szCs w:val="22"/>
              </w:rPr>
              <w:t>Πελάτες</w:t>
            </w:r>
          </w:p>
        </w:tc>
        <w:tc>
          <w:tcPr>
            <w:tcW w:w="947" w:type="pct"/>
            <w:tcBorders>
              <w:top w:val="nil"/>
              <w:left w:val="nil"/>
              <w:bottom w:val="nil"/>
              <w:right w:val="single" w:sz="12" w:space="0" w:color="auto"/>
            </w:tcBorders>
            <w:shd w:val="clear" w:color="auto" w:fill="auto"/>
            <w:vAlign w:val="center"/>
            <w:hideMark/>
          </w:tcPr>
          <w:p w14:paraId="599D23A8" w14:textId="77777777" w:rsidR="00A258EC" w:rsidRDefault="00250935">
            <w:pPr>
              <w:jc w:val="right"/>
              <w:rPr>
                <w:color w:val="000000"/>
                <w:sz w:val="22"/>
                <w:szCs w:val="22"/>
              </w:rPr>
            </w:pPr>
            <w:r>
              <w:rPr>
                <w:color w:val="000000"/>
                <w:sz w:val="22"/>
                <w:szCs w:val="22"/>
                <w:lang w:val="en-US"/>
              </w:rPr>
              <w:t>124</w:t>
            </w:r>
            <w:r w:rsidR="00A258EC">
              <w:rPr>
                <w:color w:val="000000"/>
                <w:sz w:val="22"/>
                <w:szCs w:val="22"/>
              </w:rPr>
              <w:t>,00</w:t>
            </w:r>
          </w:p>
        </w:tc>
        <w:tc>
          <w:tcPr>
            <w:tcW w:w="1144" w:type="pct"/>
            <w:tcBorders>
              <w:top w:val="nil"/>
              <w:left w:val="nil"/>
              <w:bottom w:val="nil"/>
              <w:right w:val="single" w:sz="12" w:space="0" w:color="auto"/>
            </w:tcBorders>
            <w:shd w:val="clear" w:color="auto" w:fill="auto"/>
            <w:vAlign w:val="center"/>
            <w:hideMark/>
          </w:tcPr>
          <w:p w14:paraId="7C6DD1DF" w14:textId="77777777" w:rsidR="00A258EC" w:rsidRDefault="00250935">
            <w:pPr>
              <w:jc w:val="right"/>
              <w:rPr>
                <w:color w:val="000000"/>
                <w:sz w:val="22"/>
                <w:szCs w:val="22"/>
              </w:rPr>
            </w:pPr>
            <w:r>
              <w:rPr>
                <w:color w:val="000000"/>
                <w:sz w:val="22"/>
                <w:szCs w:val="22"/>
              </w:rPr>
              <w:t>248,00</w:t>
            </w:r>
          </w:p>
        </w:tc>
      </w:tr>
      <w:tr w:rsidR="00A258EC" w:rsidRPr="00250935" w14:paraId="58EA98AD" w14:textId="77777777" w:rsidTr="00250935">
        <w:trPr>
          <w:trHeight w:val="290"/>
        </w:trPr>
        <w:tc>
          <w:tcPr>
            <w:tcW w:w="2909" w:type="pct"/>
            <w:tcBorders>
              <w:top w:val="nil"/>
              <w:left w:val="single" w:sz="12" w:space="0" w:color="auto"/>
              <w:bottom w:val="single" w:sz="12" w:space="0" w:color="auto"/>
              <w:right w:val="single" w:sz="12" w:space="0" w:color="auto"/>
            </w:tcBorders>
            <w:shd w:val="clear" w:color="auto" w:fill="auto"/>
            <w:vAlign w:val="center"/>
            <w:hideMark/>
          </w:tcPr>
          <w:p w14:paraId="14FDB4D9" w14:textId="77777777" w:rsidR="00A258EC" w:rsidRDefault="00A258EC">
            <w:pPr>
              <w:rPr>
                <w:b/>
                <w:bCs/>
                <w:color w:val="000000"/>
                <w:sz w:val="22"/>
                <w:szCs w:val="22"/>
              </w:rPr>
            </w:pPr>
            <w:r>
              <w:rPr>
                <w:b/>
                <w:bCs/>
                <w:color w:val="000000"/>
                <w:sz w:val="22"/>
                <w:szCs w:val="22"/>
              </w:rPr>
              <w:t>Σύνολο</w:t>
            </w:r>
          </w:p>
        </w:tc>
        <w:tc>
          <w:tcPr>
            <w:tcW w:w="947" w:type="pct"/>
            <w:tcBorders>
              <w:top w:val="single" w:sz="8" w:space="0" w:color="auto"/>
              <w:left w:val="nil"/>
              <w:bottom w:val="single" w:sz="8" w:space="0" w:color="auto"/>
              <w:right w:val="single" w:sz="12" w:space="0" w:color="auto"/>
            </w:tcBorders>
            <w:shd w:val="clear" w:color="auto" w:fill="auto"/>
            <w:vAlign w:val="center"/>
            <w:hideMark/>
          </w:tcPr>
          <w:p w14:paraId="640FAEF7" w14:textId="77777777" w:rsidR="00A258EC" w:rsidRDefault="00250935">
            <w:pPr>
              <w:jc w:val="right"/>
              <w:rPr>
                <w:b/>
                <w:bCs/>
                <w:color w:val="000000"/>
                <w:sz w:val="22"/>
                <w:szCs w:val="22"/>
              </w:rPr>
            </w:pPr>
            <w:r>
              <w:rPr>
                <w:b/>
                <w:bCs/>
                <w:color w:val="000000"/>
                <w:sz w:val="22"/>
                <w:szCs w:val="22"/>
                <w:lang w:val="en-US"/>
              </w:rPr>
              <w:t>124</w:t>
            </w:r>
            <w:r w:rsidR="00A258EC">
              <w:rPr>
                <w:b/>
                <w:bCs/>
                <w:color w:val="000000"/>
                <w:sz w:val="22"/>
                <w:szCs w:val="22"/>
              </w:rPr>
              <w:t>,00</w:t>
            </w:r>
          </w:p>
        </w:tc>
        <w:tc>
          <w:tcPr>
            <w:tcW w:w="1144" w:type="pct"/>
            <w:tcBorders>
              <w:top w:val="single" w:sz="8" w:space="0" w:color="auto"/>
              <w:left w:val="nil"/>
              <w:bottom w:val="single" w:sz="8" w:space="0" w:color="auto"/>
              <w:right w:val="single" w:sz="8" w:space="0" w:color="auto"/>
            </w:tcBorders>
            <w:shd w:val="clear" w:color="auto" w:fill="auto"/>
            <w:vAlign w:val="center"/>
            <w:hideMark/>
          </w:tcPr>
          <w:p w14:paraId="48B8142B" w14:textId="77777777" w:rsidR="00A258EC" w:rsidRPr="00250935" w:rsidRDefault="00250935">
            <w:pPr>
              <w:jc w:val="right"/>
              <w:rPr>
                <w:b/>
                <w:bCs/>
                <w:color w:val="000000"/>
                <w:sz w:val="22"/>
                <w:szCs w:val="22"/>
              </w:rPr>
            </w:pPr>
            <w:r w:rsidRPr="00250935">
              <w:rPr>
                <w:b/>
                <w:color w:val="000000"/>
                <w:sz w:val="22"/>
                <w:szCs w:val="22"/>
              </w:rPr>
              <w:t>248,00</w:t>
            </w:r>
          </w:p>
        </w:tc>
      </w:tr>
    </w:tbl>
    <w:p w14:paraId="3AF003A2" w14:textId="77777777" w:rsidR="00A258EC" w:rsidRDefault="00A258EC" w:rsidP="003506D2">
      <w:pPr>
        <w:shd w:val="clear" w:color="auto" w:fill="FFFFFF"/>
        <w:spacing w:after="200" w:line="312" w:lineRule="auto"/>
        <w:ind w:left="284" w:right="14"/>
        <w:rPr>
          <w:sz w:val="22"/>
          <w:szCs w:val="22"/>
          <w:lang w:val="en-US"/>
        </w:rPr>
      </w:pPr>
    </w:p>
    <w:p w14:paraId="24C82F13" w14:textId="77777777" w:rsidR="00BA3252" w:rsidRPr="00B45F92" w:rsidRDefault="00BA3252" w:rsidP="003506D2">
      <w:pPr>
        <w:shd w:val="clear" w:color="auto" w:fill="FFFFFF"/>
        <w:spacing w:after="200" w:line="312" w:lineRule="auto"/>
        <w:ind w:left="284" w:right="14"/>
        <w:rPr>
          <w:sz w:val="22"/>
          <w:szCs w:val="22"/>
        </w:rPr>
      </w:pPr>
      <w:r w:rsidRPr="00B45F92">
        <w:rPr>
          <w:sz w:val="22"/>
          <w:szCs w:val="22"/>
        </w:rPr>
        <w:t xml:space="preserve"> </w:t>
      </w:r>
    </w:p>
    <w:p w14:paraId="2EC2C1D9" w14:textId="77777777" w:rsidR="00BA3252" w:rsidRPr="00B45F92" w:rsidRDefault="00BA3252" w:rsidP="003506D2">
      <w:pPr>
        <w:shd w:val="clear" w:color="auto" w:fill="FFFFFF"/>
        <w:spacing w:after="200" w:line="312" w:lineRule="auto"/>
        <w:ind w:left="284" w:right="14" w:hanging="284"/>
        <w:rPr>
          <w:b/>
          <w:sz w:val="22"/>
          <w:szCs w:val="22"/>
        </w:rPr>
      </w:pPr>
      <w:r w:rsidRPr="00B45F92">
        <w:rPr>
          <w:b/>
          <w:sz w:val="22"/>
          <w:szCs w:val="22"/>
        </w:rPr>
        <w:t>7.2.2 Λοιπές απαιτήσεις</w:t>
      </w:r>
    </w:p>
    <w:p w14:paraId="0093626D" w14:textId="77777777" w:rsidR="00BA3252" w:rsidRDefault="00BA3252" w:rsidP="003506D2">
      <w:pPr>
        <w:shd w:val="clear" w:color="auto" w:fill="FFFFFF"/>
        <w:spacing w:after="200" w:line="312" w:lineRule="auto"/>
        <w:ind w:left="284" w:right="14"/>
        <w:rPr>
          <w:sz w:val="22"/>
          <w:szCs w:val="22"/>
        </w:rPr>
      </w:pPr>
      <w:r w:rsidRPr="00B45F92">
        <w:rPr>
          <w:sz w:val="22"/>
          <w:szCs w:val="22"/>
        </w:rPr>
        <w:t>Οι λοιπές απαιτήσεις αναλύονται στον κατωτέρω πίνακα:</w:t>
      </w:r>
    </w:p>
    <w:tbl>
      <w:tblPr>
        <w:tblW w:w="4993" w:type="pct"/>
        <w:tblLook w:val="04A0" w:firstRow="1" w:lastRow="0" w:firstColumn="1" w:lastColumn="0" w:noHBand="0" w:noVBand="1"/>
      </w:tblPr>
      <w:tblGrid>
        <w:gridCol w:w="5373"/>
        <w:gridCol w:w="2219"/>
        <w:gridCol w:w="2116"/>
      </w:tblGrid>
      <w:tr w:rsidR="00250935" w14:paraId="22FC32EB" w14:textId="77777777" w:rsidTr="00250935">
        <w:trPr>
          <w:trHeight w:val="300"/>
        </w:trPr>
        <w:tc>
          <w:tcPr>
            <w:tcW w:w="2767" w:type="pct"/>
            <w:tcBorders>
              <w:top w:val="single" w:sz="12" w:space="0" w:color="auto"/>
              <w:left w:val="single" w:sz="12" w:space="0" w:color="auto"/>
              <w:bottom w:val="single" w:sz="12" w:space="0" w:color="auto"/>
              <w:right w:val="single" w:sz="12" w:space="0" w:color="auto"/>
            </w:tcBorders>
            <w:shd w:val="clear" w:color="auto" w:fill="auto"/>
            <w:vAlign w:val="center"/>
            <w:hideMark/>
          </w:tcPr>
          <w:p w14:paraId="313392BE" w14:textId="77777777" w:rsidR="00250935" w:rsidRDefault="00250935" w:rsidP="00250935">
            <w:pPr>
              <w:rPr>
                <w:b/>
                <w:bCs/>
                <w:color w:val="000000"/>
                <w:sz w:val="22"/>
                <w:szCs w:val="22"/>
              </w:rPr>
            </w:pPr>
            <w:r>
              <w:rPr>
                <w:b/>
                <w:bCs/>
                <w:color w:val="000000"/>
                <w:sz w:val="22"/>
                <w:szCs w:val="22"/>
              </w:rPr>
              <w:lastRenderedPageBreak/>
              <w:t>Λοιπές απαιτήσεις</w:t>
            </w:r>
          </w:p>
        </w:tc>
        <w:tc>
          <w:tcPr>
            <w:tcW w:w="1143" w:type="pct"/>
            <w:tcBorders>
              <w:top w:val="single" w:sz="12" w:space="0" w:color="auto"/>
              <w:left w:val="nil"/>
              <w:bottom w:val="single" w:sz="12" w:space="0" w:color="auto"/>
              <w:right w:val="single" w:sz="12" w:space="0" w:color="auto"/>
            </w:tcBorders>
            <w:shd w:val="clear" w:color="auto" w:fill="auto"/>
            <w:vAlign w:val="center"/>
            <w:hideMark/>
          </w:tcPr>
          <w:p w14:paraId="22913DC5" w14:textId="77777777" w:rsidR="00250935" w:rsidRDefault="00250935" w:rsidP="00250935">
            <w:pPr>
              <w:jc w:val="center"/>
              <w:rPr>
                <w:b/>
                <w:bCs/>
                <w:color w:val="000000"/>
                <w:sz w:val="22"/>
                <w:szCs w:val="22"/>
              </w:rPr>
            </w:pPr>
            <w:r>
              <w:rPr>
                <w:b/>
                <w:bCs/>
                <w:color w:val="000000"/>
                <w:sz w:val="22"/>
                <w:szCs w:val="22"/>
              </w:rPr>
              <w:t>31/12/20</w:t>
            </w:r>
          </w:p>
        </w:tc>
        <w:tc>
          <w:tcPr>
            <w:tcW w:w="1090" w:type="pct"/>
            <w:tcBorders>
              <w:top w:val="single" w:sz="12" w:space="0" w:color="auto"/>
              <w:left w:val="nil"/>
              <w:bottom w:val="single" w:sz="12" w:space="0" w:color="auto"/>
              <w:right w:val="single" w:sz="12" w:space="0" w:color="auto"/>
            </w:tcBorders>
            <w:vAlign w:val="center"/>
          </w:tcPr>
          <w:p w14:paraId="38FB7D21" w14:textId="77777777" w:rsidR="00250935" w:rsidRDefault="00250935" w:rsidP="00250935">
            <w:pPr>
              <w:jc w:val="center"/>
              <w:rPr>
                <w:b/>
                <w:bCs/>
                <w:color w:val="000000"/>
                <w:sz w:val="22"/>
                <w:szCs w:val="22"/>
              </w:rPr>
            </w:pPr>
            <w:r>
              <w:rPr>
                <w:b/>
                <w:bCs/>
                <w:color w:val="000000"/>
                <w:sz w:val="22"/>
                <w:szCs w:val="22"/>
              </w:rPr>
              <w:t>31/12/19</w:t>
            </w:r>
          </w:p>
        </w:tc>
      </w:tr>
      <w:tr w:rsidR="00250935" w14:paraId="23511FC4" w14:textId="77777777" w:rsidTr="00250935">
        <w:trPr>
          <w:trHeight w:val="290"/>
        </w:trPr>
        <w:tc>
          <w:tcPr>
            <w:tcW w:w="2767" w:type="pct"/>
            <w:tcBorders>
              <w:top w:val="nil"/>
              <w:left w:val="single" w:sz="12" w:space="0" w:color="auto"/>
              <w:bottom w:val="nil"/>
              <w:right w:val="single" w:sz="12" w:space="0" w:color="auto"/>
            </w:tcBorders>
            <w:shd w:val="clear" w:color="auto" w:fill="auto"/>
            <w:vAlign w:val="center"/>
            <w:hideMark/>
          </w:tcPr>
          <w:p w14:paraId="403A2DF3" w14:textId="77777777" w:rsidR="00250935" w:rsidRDefault="00250935" w:rsidP="00250935">
            <w:pPr>
              <w:rPr>
                <w:color w:val="000000"/>
                <w:sz w:val="22"/>
                <w:szCs w:val="22"/>
              </w:rPr>
            </w:pPr>
            <w:r>
              <w:rPr>
                <w:color w:val="000000"/>
                <w:sz w:val="22"/>
                <w:szCs w:val="22"/>
              </w:rPr>
              <w:t>Χρεώστες διάφοροι</w:t>
            </w:r>
          </w:p>
        </w:tc>
        <w:tc>
          <w:tcPr>
            <w:tcW w:w="1143" w:type="pct"/>
            <w:tcBorders>
              <w:top w:val="nil"/>
              <w:left w:val="nil"/>
              <w:bottom w:val="nil"/>
              <w:right w:val="single" w:sz="12" w:space="0" w:color="auto"/>
            </w:tcBorders>
            <w:shd w:val="clear" w:color="auto" w:fill="auto"/>
            <w:vAlign w:val="center"/>
            <w:hideMark/>
          </w:tcPr>
          <w:p w14:paraId="13018F2F" w14:textId="77777777" w:rsidR="00250935" w:rsidRDefault="00250935" w:rsidP="00250935">
            <w:pPr>
              <w:jc w:val="right"/>
              <w:rPr>
                <w:color w:val="000000"/>
                <w:sz w:val="22"/>
                <w:szCs w:val="22"/>
              </w:rPr>
            </w:pPr>
            <w:r>
              <w:rPr>
                <w:color w:val="000000"/>
                <w:sz w:val="22"/>
                <w:szCs w:val="22"/>
              </w:rPr>
              <w:t>33.362,04</w:t>
            </w:r>
          </w:p>
        </w:tc>
        <w:tc>
          <w:tcPr>
            <w:tcW w:w="1090" w:type="pct"/>
            <w:tcBorders>
              <w:top w:val="nil"/>
              <w:left w:val="nil"/>
              <w:bottom w:val="nil"/>
              <w:right w:val="single" w:sz="12" w:space="0" w:color="auto"/>
            </w:tcBorders>
            <w:vAlign w:val="center"/>
          </w:tcPr>
          <w:p w14:paraId="3DDEB1A0" w14:textId="77777777" w:rsidR="00250935" w:rsidRDefault="00250935" w:rsidP="00250935">
            <w:pPr>
              <w:jc w:val="right"/>
              <w:rPr>
                <w:color w:val="000000"/>
                <w:sz w:val="22"/>
                <w:szCs w:val="22"/>
              </w:rPr>
            </w:pPr>
            <w:r>
              <w:rPr>
                <w:color w:val="000000"/>
                <w:sz w:val="22"/>
                <w:szCs w:val="22"/>
              </w:rPr>
              <w:t>33.359,73</w:t>
            </w:r>
          </w:p>
        </w:tc>
      </w:tr>
      <w:tr w:rsidR="00250935" w14:paraId="72290364" w14:textId="77777777" w:rsidTr="00250935">
        <w:trPr>
          <w:trHeight w:val="280"/>
        </w:trPr>
        <w:tc>
          <w:tcPr>
            <w:tcW w:w="2767" w:type="pct"/>
            <w:tcBorders>
              <w:top w:val="nil"/>
              <w:left w:val="single" w:sz="12" w:space="0" w:color="auto"/>
              <w:bottom w:val="nil"/>
              <w:right w:val="single" w:sz="12" w:space="0" w:color="auto"/>
            </w:tcBorders>
            <w:shd w:val="clear" w:color="auto" w:fill="auto"/>
            <w:vAlign w:val="center"/>
            <w:hideMark/>
          </w:tcPr>
          <w:p w14:paraId="7A3C7778" w14:textId="77777777" w:rsidR="00250935" w:rsidRDefault="00250935" w:rsidP="00250935">
            <w:pPr>
              <w:rPr>
                <w:color w:val="000000"/>
                <w:sz w:val="22"/>
                <w:szCs w:val="22"/>
              </w:rPr>
            </w:pPr>
            <w:r>
              <w:rPr>
                <w:color w:val="000000"/>
                <w:sz w:val="22"/>
                <w:szCs w:val="22"/>
              </w:rPr>
              <w:t>Χρεωστικά Υπόλοιπα Προμηθευτών</w:t>
            </w:r>
          </w:p>
        </w:tc>
        <w:tc>
          <w:tcPr>
            <w:tcW w:w="1143" w:type="pct"/>
            <w:tcBorders>
              <w:top w:val="nil"/>
              <w:left w:val="nil"/>
              <w:right w:val="single" w:sz="12" w:space="0" w:color="auto"/>
            </w:tcBorders>
            <w:shd w:val="clear" w:color="auto" w:fill="auto"/>
            <w:vAlign w:val="center"/>
            <w:hideMark/>
          </w:tcPr>
          <w:p w14:paraId="7CC02B8E" w14:textId="77777777" w:rsidR="00250935" w:rsidRDefault="00250935" w:rsidP="00250935">
            <w:pPr>
              <w:jc w:val="right"/>
              <w:rPr>
                <w:color w:val="000000"/>
                <w:sz w:val="22"/>
                <w:szCs w:val="22"/>
              </w:rPr>
            </w:pPr>
            <w:r>
              <w:rPr>
                <w:color w:val="000000"/>
                <w:sz w:val="22"/>
                <w:szCs w:val="22"/>
              </w:rPr>
              <w:t>1.119,25</w:t>
            </w:r>
          </w:p>
        </w:tc>
        <w:tc>
          <w:tcPr>
            <w:tcW w:w="1090" w:type="pct"/>
            <w:tcBorders>
              <w:top w:val="nil"/>
              <w:left w:val="nil"/>
              <w:right w:val="single" w:sz="12" w:space="0" w:color="auto"/>
            </w:tcBorders>
            <w:vAlign w:val="center"/>
          </w:tcPr>
          <w:p w14:paraId="7353D541" w14:textId="77777777" w:rsidR="00250935" w:rsidRDefault="00250935" w:rsidP="00250935">
            <w:pPr>
              <w:jc w:val="right"/>
              <w:rPr>
                <w:color w:val="000000"/>
                <w:sz w:val="22"/>
                <w:szCs w:val="22"/>
              </w:rPr>
            </w:pPr>
            <w:r>
              <w:rPr>
                <w:color w:val="000000"/>
                <w:sz w:val="22"/>
                <w:szCs w:val="22"/>
              </w:rPr>
              <w:t>1.119,25</w:t>
            </w:r>
          </w:p>
        </w:tc>
      </w:tr>
      <w:tr w:rsidR="00250935" w14:paraId="318B5F5E" w14:textId="77777777" w:rsidTr="00250935">
        <w:trPr>
          <w:trHeight w:val="280"/>
        </w:trPr>
        <w:tc>
          <w:tcPr>
            <w:tcW w:w="2767" w:type="pct"/>
            <w:tcBorders>
              <w:top w:val="nil"/>
              <w:left w:val="single" w:sz="12" w:space="0" w:color="auto"/>
              <w:bottom w:val="nil"/>
              <w:right w:val="single" w:sz="12" w:space="0" w:color="auto"/>
            </w:tcBorders>
            <w:shd w:val="clear" w:color="auto" w:fill="auto"/>
            <w:vAlign w:val="center"/>
            <w:hideMark/>
          </w:tcPr>
          <w:p w14:paraId="2A73F902" w14:textId="77777777" w:rsidR="00250935" w:rsidRDefault="00250935" w:rsidP="00250935">
            <w:pPr>
              <w:rPr>
                <w:color w:val="000000"/>
                <w:sz w:val="22"/>
                <w:szCs w:val="22"/>
              </w:rPr>
            </w:pPr>
            <w:r>
              <w:rPr>
                <w:color w:val="000000"/>
                <w:sz w:val="22"/>
                <w:szCs w:val="22"/>
              </w:rPr>
              <w:t>ΦΠΑ Χρεωστικό Υπόλοιπο</w:t>
            </w:r>
          </w:p>
        </w:tc>
        <w:tc>
          <w:tcPr>
            <w:tcW w:w="1143" w:type="pct"/>
            <w:tcBorders>
              <w:top w:val="nil"/>
              <w:left w:val="nil"/>
              <w:bottom w:val="single" w:sz="4" w:space="0" w:color="auto"/>
              <w:right w:val="single" w:sz="12" w:space="0" w:color="auto"/>
            </w:tcBorders>
            <w:shd w:val="clear" w:color="auto" w:fill="auto"/>
            <w:vAlign w:val="center"/>
            <w:hideMark/>
          </w:tcPr>
          <w:p w14:paraId="3E2487EF" w14:textId="77777777" w:rsidR="00250935" w:rsidRPr="00250935" w:rsidRDefault="00250935" w:rsidP="00250935">
            <w:pPr>
              <w:jc w:val="right"/>
              <w:rPr>
                <w:color w:val="000000"/>
                <w:sz w:val="22"/>
                <w:szCs w:val="22"/>
                <w:lang w:val="en-US"/>
              </w:rPr>
            </w:pPr>
            <w:r>
              <w:rPr>
                <w:color w:val="000000"/>
                <w:sz w:val="22"/>
                <w:szCs w:val="22"/>
                <w:lang w:val="en-US"/>
              </w:rPr>
              <w:t>344,12</w:t>
            </w:r>
          </w:p>
        </w:tc>
        <w:tc>
          <w:tcPr>
            <w:tcW w:w="1090" w:type="pct"/>
            <w:tcBorders>
              <w:top w:val="nil"/>
              <w:left w:val="nil"/>
              <w:bottom w:val="single" w:sz="4" w:space="0" w:color="auto"/>
              <w:right w:val="single" w:sz="12" w:space="0" w:color="auto"/>
            </w:tcBorders>
            <w:vAlign w:val="center"/>
          </w:tcPr>
          <w:p w14:paraId="1A7FBD3C" w14:textId="77777777" w:rsidR="00250935" w:rsidRDefault="00250935" w:rsidP="00250935">
            <w:pPr>
              <w:jc w:val="right"/>
              <w:rPr>
                <w:color w:val="000000"/>
                <w:sz w:val="22"/>
                <w:szCs w:val="22"/>
              </w:rPr>
            </w:pPr>
            <w:r>
              <w:rPr>
                <w:color w:val="000000"/>
                <w:sz w:val="22"/>
                <w:szCs w:val="22"/>
              </w:rPr>
              <w:t>1.448,58</w:t>
            </w:r>
          </w:p>
        </w:tc>
      </w:tr>
      <w:tr w:rsidR="00250935" w14:paraId="62E460F0" w14:textId="77777777" w:rsidTr="00250935">
        <w:trPr>
          <w:trHeight w:val="290"/>
        </w:trPr>
        <w:tc>
          <w:tcPr>
            <w:tcW w:w="2767" w:type="pct"/>
            <w:tcBorders>
              <w:top w:val="nil"/>
              <w:left w:val="single" w:sz="12" w:space="0" w:color="auto"/>
              <w:bottom w:val="single" w:sz="12" w:space="0" w:color="auto"/>
              <w:right w:val="single" w:sz="12" w:space="0" w:color="auto"/>
            </w:tcBorders>
            <w:shd w:val="clear" w:color="auto" w:fill="auto"/>
            <w:vAlign w:val="center"/>
            <w:hideMark/>
          </w:tcPr>
          <w:p w14:paraId="4AD6784F" w14:textId="77777777" w:rsidR="00250935" w:rsidRDefault="00250935" w:rsidP="00250935">
            <w:pPr>
              <w:rPr>
                <w:b/>
                <w:bCs/>
                <w:color w:val="000000"/>
                <w:sz w:val="22"/>
                <w:szCs w:val="22"/>
              </w:rPr>
            </w:pPr>
            <w:r>
              <w:rPr>
                <w:b/>
                <w:bCs/>
                <w:color w:val="000000"/>
                <w:sz w:val="22"/>
                <w:szCs w:val="22"/>
              </w:rPr>
              <w:t>Σύνολο</w:t>
            </w:r>
          </w:p>
        </w:tc>
        <w:tc>
          <w:tcPr>
            <w:tcW w:w="1143" w:type="pct"/>
            <w:tcBorders>
              <w:top w:val="single" w:sz="4" w:space="0" w:color="auto"/>
              <w:left w:val="nil"/>
              <w:bottom w:val="double" w:sz="6" w:space="0" w:color="auto"/>
              <w:right w:val="single" w:sz="12" w:space="0" w:color="auto"/>
            </w:tcBorders>
            <w:shd w:val="clear" w:color="auto" w:fill="auto"/>
            <w:vAlign w:val="center"/>
            <w:hideMark/>
          </w:tcPr>
          <w:p w14:paraId="20D23C67" w14:textId="77777777" w:rsidR="00250935" w:rsidRDefault="00250935" w:rsidP="00250935">
            <w:pPr>
              <w:jc w:val="right"/>
              <w:rPr>
                <w:b/>
                <w:bCs/>
                <w:color w:val="000000"/>
                <w:sz w:val="22"/>
                <w:szCs w:val="22"/>
              </w:rPr>
            </w:pPr>
            <w:r>
              <w:rPr>
                <w:b/>
                <w:bCs/>
                <w:color w:val="000000"/>
                <w:sz w:val="22"/>
                <w:szCs w:val="22"/>
              </w:rPr>
              <w:fldChar w:fldCharType="begin"/>
            </w:r>
            <w:r>
              <w:rPr>
                <w:b/>
                <w:bCs/>
                <w:color w:val="000000"/>
                <w:sz w:val="22"/>
                <w:szCs w:val="22"/>
              </w:rPr>
              <w:instrText xml:space="preserve"> =SUM(ABOVE) </w:instrText>
            </w:r>
            <w:r>
              <w:rPr>
                <w:b/>
                <w:bCs/>
                <w:color w:val="000000"/>
                <w:sz w:val="22"/>
                <w:szCs w:val="22"/>
              </w:rPr>
              <w:fldChar w:fldCharType="separate"/>
            </w:r>
            <w:r>
              <w:rPr>
                <w:b/>
                <w:bCs/>
                <w:noProof/>
                <w:color w:val="000000"/>
                <w:sz w:val="22"/>
                <w:szCs w:val="22"/>
              </w:rPr>
              <w:t>34.825,41</w:t>
            </w:r>
            <w:r>
              <w:rPr>
                <w:b/>
                <w:bCs/>
                <w:color w:val="000000"/>
                <w:sz w:val="22"/>
                <w:szCs w:val="22"/>
              </w:rPr>
              <w:fldChar w:fldCharType="end"/>
            </w:r>
          </w:p>
        </w:tc>
        <w:tc>
          <w:tcPr>
            <w:tcW w:w="1090" w:type="pct"/>
            <w:tcBorders>
              <w:top w:val="single" w:sz="4" w:space="0" w:color="auto"/>
              <w:left w:val="nil"/>
              <w:bottom w:val="double" w:sz="6" w:space="0" w:color="auto"/>
              <w:right w:val="single" w:sz="12" w:space="0" w:color="auto"/>
            </w:tcBorders>
            <w:vAlign w:val="center"/>
          </w:tcPr>
          <w:p w14:paraId="3C63FCC2" w14:textId="77777777" w:rsidR="00250935" w:rsidRDefault="00250935" w:rsidP="00250935">
            <w:pPr>
              <w:jc w:val="right"/>
              <w:rPr>
                <w:b/>
                <w:bCs/>
                <w:color w:val="000000"/>
                <w:sz w:val="22"/>
                <w:szCs w:val="22"/>
              </w:rPr>
            </w:pPr>
            <w:r>
              <w:rPr>
                <w:b/>
                <w:bCs/>
                <w:color w:val="000000"/>
                <w:sz w:val="22"/>
                <w:szCs w:val="22"/>
              </w:rPr>
              <w:t>35.927,56</w:t>
            </w:r>
          </w:p>
        </w:tc>
      </w:tr>
    </w:tbl>
    <w:p w14:paraId="6E67B572" w14:textId="77777777" w:rsidR="00777970" w:rsidRDefault="00777970" w:rsidP="003506D2">
      <w:pPr>
        <w:shd w:val="clear" w:color="auto" w:fill="FFFFFF"/>
        <w:spacing w:after="200" w:line="312" w:lineRule="auto"/>
        <w:ind w:left="284" w:right="14"/>
        <w:rPr>
          <w:sz w:val="22"/>
          <w:szCs w:val="22"/>
        </w:rPr>
      </w:pPr>
    </w:p>
    <w:p w14:paraId="1BA8C396" w14:textId="77777777" w:rsidR="00A52886" w:rsidRPr="00B45F92" w:rsidRDefault="00A52886" w:rsidP="00A52886">
      <w:pPr>
        <w:shd w:val="clear" w:color="auto" w:fill="FFFFFF"/>
        <w:spacing w:after="200" w:line="276" w:lineRule="auto"/>
        <w:ind w:left="284" w:right="14" w:hanging="284"/>
        <w:rPr>
          <w:b/>
          <w:sz w:val="22"/>
          <w:szCs w:val="22"/>
        </w:rPr>
      </w:pPr>
      <w:r w:rsidRPr="00B45F92">
        <w:rPr>
          <w:b/>
          <w:sz w:val="22"/>
          <w:szCs w:val="22"/>
        </w:rPr>
        <w:t xml:space="preserve">7.2.3 </w:t>
      </w:r>
      <w:r w:rsidR="00FC253D" w:rsidRPr="00B45F92">
        <w:rPr>
          <w:b/>
          <w:sz w:val="22"/>
          <w:szCs w:val="22"/>
        </w:rPr>
        <w:t xml:space="preserve">Ταμειακά </w:t>
      </w:r>
      <w:r w:rsidRPr="00B45F92">
        <w:rPr>
          <w:b/>
          <w:sz w:val="22"/>
          <w:szCs w:val="22"/>
        </w:rPr>
        <w:t>διαθέσιμα</w:t>
      </w:r>
      <w:r w:rsidR="00FC253D" w:rsidRPr="00B45F92">
        <w:rPr>
          <w:b/>
          <w:sz w:val="22"/>
          <w:szCs w:val="22"/>
        </w:rPr>
        <w:t xml:space="preserve"> και ισοδύναμα</w:t>
      </w:r>
    </w:p>
    <w:p w14:paraId="34641DFF" w14:textId="77777777" w:rsidR="00A52886" w:rsidRPr="00B45F92" w:rsidRDefault="00A52886" w:rsidP="00A52886">
      <w:pPr>
        <w:shd w:val="clear" w:color="auto" w:fill="FFFFFF"/>
        <w:spacing w:after="200" w:line="276" w:lineRule="auto"/>
        <w:ind w:left="284" w:right="14"/>
        <w:rPr>
          <w:sz w:val="22"/>
          <w:szCs w:val="22"/>
        </w:rPr>
      </w:pPr>
      <w:r w:rsidRPr="00B45F92">
        <w:rPr>
          <w:sz w:val="22"/>
          <w:szCs w:val="22"/>
        </w:rPr>
        <w:t xml:space="preserve">Τα </w:t>
      </w:r>
      <w:r w:rsidR="00FC253D" w:rsidRPr="00B45F92">
        <w:rPr>
          <w:sz w:val="22"/>
          <w:szCs w:val="22"/>
        </w:rPr>
        <w:t xml:space="preserve">ταμειακά διαθέσιμα και ισοδύναμα </w:t>
      </w:r>
      <w:r w:rsidRPr="00B45F92">
        <w:rPr>
          <w:sz w:val="22"/>
          <w:szCs w:val="22"/>
        </w:rPr>
        <w:t>αναλύονται στον κατωτέρω πίνακα:</w:t>
      </w:r>
    </w:p>
    <w:tbl>
      <w:tblPr>
        <w:tblW w:w="5000" w:type="pct"/>
        <w:tblLook w:val="04A0" w:firstRow="1" w:lastRow="0" w:firstColumn="1" w:lastColumn="0" w:noHBand="0" w:noVBand="1"/>
      </w:tblPr>
      <w:tblGrid>
        <w:gridCol w:w="5515"/>
        <w:gridCol w:w="2125"/>
        <w:gridCol w:w="2082"/>
      </w:tblGrid>
      <w:tr w:rsidR="00A258EC" w14:paraId="24D80249" w14:textId="77777777" w:rsidTr="00A258EC">
        <w:trPr>
          <w:trHeight w:val="300"/>
        </w:trPr>
        <w:tc>
          <w:tcPr>
            <w:tcW w:w="2836" w:type="pct"/>
            <w:tcBorders>
              <w:top w:val="single" w:sz="12" w:space="0" w:color="auto"/>
              <w:left w:val="single" w:sz="12" w:space="0" w:color="auto"/>
              <w:bottom w:val="single" w:sz="12" w:space="0" w:color="auto"/>
              <w:right w:val="single" w:sz="12" w:space="0" w:color="auto"/>
            </w:tcBorders>
            <w:shd w:val="clear" w:color="auto" w:fill="auto"/>
            <w:vAlign w:val="center"/>
            <w:hideMark/>
          </w:tcPr>
          <w:p w14:paraId="7FDF8491" w14:textId="77777777" w:rsidR="00A258EC" w:rsidRDefault="00A258EC">
            <w:pPr>
              <w:rPr>
                <w:b/>
                <w:bCs/>
                <w:color w:val="000000"/>
                <w:sz w:val="22"/>
                <w:szCs w:val="22"/>
              </w:rPr>
            </w:pPr>
            <w:r>
              <w:rPr>
                <w:b/>
                <w:bCs/>
                <w:color w:val="000000"/>
                <w:sz w:val="22"/>
                <w:szCs w:val="22"/>
              </w:rPr>
              <w:t>Ταμειακά διαθέσιμα και ισοδύναμα</w:t>
            </w:r>
          </w:p>
        </w:tc>
        <w:tc>
          <w:tcPr>
            <w:tcW w:w="1093" w:type="pct"/>
            <w:tcBorders>
              <w:top w:val="single" w:sz="12" w:space="0" w:color="auto"/>
              <w:left w:val="nil"/>
              <w:bottom w:val="single" w:sz="12" w:space="0" w:color="auto"/>
              <w:right w:val="single" w:sz="12" w:space="0" w:color="auto"/>
            </w:tcBorders>
            <w:shd w:val="clear" w:color="auto" w:fill="auto"/>
            <w:vAlign w:val="center"/>
            <w:hideMark/>
          </w:tcPr>
          <w:p w14:paraId="3CEDB313" w14:textId="77777777" w:rsidR="00A258EC" w:rsidRDefault="00112117">
            <w:pPr>
              <w:jc w:val="center"/>
              <w:rPr>
                <w:b/>
                <w:bCs/>
                <w:color w:val="000000"/>
                <w:sz w:val="22"/>
                <w:szCs w:val="22"/>
              </w:rPr>
            </w:pPr>
            <w:r>
              <w:rPr>
                <w:b/>
                <w:bCs/>
                <w:color w:val="000000"/>
                <w:sz w:val="22"/>
                <w:szCs w:val="22"/>
              </w:rPr>
              <w:t>31/12/20</w:t>
            </w:r>
          </w:p>
        </w:tc>
        <w:tc>
          <w:tcPr>
            <w:tcW w:w="1071" w:type="pct"/>
            <w:tcBorders>
              <w:top w:val="single" w:sz="12" w:space="0" w:color="auto"/>
              <w:left w:val="nil"/>
              <w:bottom w:val="single" w:sz="12" w:space="0" w:color="auto"/>
              <w:right w:val="single" w:sz="12" w:space="0" w:color="auto"/>
            </w:tcBorders>
            <w:shd w:val="clear" w:color="auto" w:fill="auto"/>
            <w:vAlign w:val="center"/>
            <w:hideMark/>
          </w:tcPr>
          <w:p w14:paraId="05FBB83F" w14:textId="77777777" w:rsidR="00A258EC" w:rsidRDefault="00A258EC">
            <w:pPr>
              <w:jc w:val="center"/>
              <w:rPr>
                <w:b/>
                <w:bCs/>
                <w:color w:val="000000"/>
                <w:sz w:val="22"/>
                <w:szCs w:val="22"/>
              </w:rPr>
            </w:pPr>
            <w:r>
              <w:rPr>
                <w:b/>
                <w:bCs/>
                <w:color w:val="000000"/>
                <w:sz w:val="22"/>
                <w:szCs w:val="22"/>
              </w:rPr>
              <w:t>31/12/1</w:t>
            </w:r>
            <w:r w:rsidR="00250935">
              <w:rPr>
                <w:b/>
                <w:bCs/>
                <w:color w:val="000000"/>
                <w:sz w:val="22"/>
                <w:szCs w:val="22"/>
              </w:rPr>
              <w:t>9</w:t>
            </w:r>
          </w:p>
        </w:tc>
      </w:tr>
      <w:tr w:rsidR="00250935" w14:paraId="18F537C7" w14:textId="77777777" w:rsidTr="00112117">
        <w:trPr>
          <w:trHeight w:val="290"/>
        </w:trPr>
        <w:tc>
          <w:tcPr>
            <w:tcW w:w="2836" w:type="pct"/>
            <w:tcBorders>
              <w:top w:val="nil"/>
              <w:left w:val="single" w:sz="12" w:space="0" w:color="auto"/>
              <w:bottom w:val="nil"/>
              <w:right w:val="single" w:sz="12" w:space="0" w:color="auto"/>
            </w:tcBorders>
            <w:shd w:val="clear" w:color="auto" w:fill="auto"/>
            <w:vAlign w:val="center"/>
            <w:hideMark/>
          </w:tcPr>
          <w:p w14:paraId="0DDC633E" w14:textId="77777777" w:rsidR="00250935" w:rsidRDefault="00250935" w:rsidP="00250935">
            <w:pPr>
              <w:rPr>
                <w:color w:val="000000"/>
                <w:sz w:val="22"/>
                <w:szCs w:val="22"/>
              </w:rPr>
            </w:pPr>
            <w:r>
              <w:rPr>
                <w:color w:val="000000"/>
                <w:sz w:val="22"/>
                <w:szCs w:val="22"/>
              </w:rPr>
              <w:t>Ταμείο</w:t>
            </w:r>
          </w:p>
        </w:tc>
        <w:tc>
          <w:tcPr>
            <w:tcW w:w="1093" w:type="pct"/>
            <w:tcBorders>
              <w:top w:val="nil"/>
              <w:left w:val="nil"/>
              <w:right w:val="single" w:sz="12" w:space="0" w:color="auto"/>
            </w:tcBorders>
            <w:shd w:val="clear" w:color="auto" w:fill="auto"/>
            <w:vAlign w:val="center"/>
            <w:hideMark/>
          </w:tcPr>
          <w:p w14:paraId="5AD80841" w14:textId="77777777" w:rsidR="00250935" w:rsidRDefault="00112117" w:rsidP="00250935">
            <w:pPr>
              <w:jc w:val="right"/>
              <w:rPr>
                <w:color w:val="000000"/>
                <w:sz w:val="22"/>
                <w:szCs w:val="22"/>
              </w:rPr>
            </w:pPr>
            <w:r w:rsidRPr="00112117">
              <w:rPr>
                <w:color w:val="000000"/>
                <w:sz w:val="22"/>
                <w:szCs w:val="22"/>
              </w:rPr>
              <w:t>69,03</w:t>
            </w:r>
          </w:p>
        </w:tc>
        <w:tc>
          <w:tcPr>
            <w:tcW w:w="1071" w:type="pct"/>
            <w:tcBorders>
              <w:top w:val="nil"/>
              <w:left w:val="nil"/>
              <w:right w:val="single" w:sz="12" w:space="0" w:color="auto"/>
            </w:tcBorders>
            <w:shd w:val="clear" w:color="auto" w:fill="auto"/>
            <w:vAlign w:val="center"/>
            <w:hideMark/>
          </w:tcPr>
          <w:p w14:paraId="2CC19170" w14:textId="77777777" w:rsidR="00250935" w:rsidRDefault="00250935" w:rsidP="00250935">
            <w:pPr>
              <w:jc w:val="right"/>
              <w:rPr>
                <w:color w:val="000000"/>
                <w:sz w:val="22"/>
                <w:szCs w:val="22"/>
              </w:rPr>
            </w:pPr>
            <w:r>
              <w:rPr>
                <w:color w:val="000000"/>
                <w:sz w:val="22"/>
                <w:szCs w:val="22"/>
              </w:rPr>
              <w:t>133,05</w:t>
            </w:r>
          </w:p>
        </w:tc>
      </w:tr>
      <w:tr w:rsidR="00250935" w14:paraId="5ACEDD04" w14:textId="77777777" w:rsidTr="00112117">
        <w:trPr>
          <w:trHeight w:val="280"/>
        </w:trPr>
        <w:tc>
          <w:tcPr>
            <w:tcW w:w="2836" w:type="pct"/>
            <w:tcBorders>
              <w:top w:val="nil"/>
              <w:left w:val="single" w:sz="12" w:space="0" w:color="auto"/>
              <w:bottom w:val="nil"/>
              <w:right w:val="single" w:sz="12" w:space="0" w:color="auto"/>
            </w:tcBorders>
            <w:shd w:val="clear" w:color="auto" w:fill="auto"/>
            <w:vAlign w:val="center"/>
            <w:hideMark/>
          </w:tcPr>
          <w:p w14:paraId="126988B7" w14:textId="77777777" w:rsidR="00250935" w:rsidRDefault="00250935" w:rsidP="00250935">
            <w:pPr>
              <w:rPr>
                <w:color w:val="000000"/>
                <w:sz w:val="22"/>
                <w:szCs w:val="22"/>
              </w:rPr>
            </w:pPr>
            <w:r>
              <w:rPr>
                <w:color w:val="000000"/>
                <w:sz w:val="22"/>
                <w:szCs w:val="22"/>
              </w:rPr>
              <w:t>Καταθέσεις όψεως</w:t>
            </w:r>
          </w:p>
        </w:tc>
        <w:tc>
          <w:tcPr>
            <w:tcW w:w="1093" w:type="pct"/>
            <w:tcBorders>
              <w:top w:val="nil"/>
              <w:left w:val="nil"/>
              <w:bottom w:val="single" w:sz="4" w:space="0" w:color="auto"/>
              <w:right w:val="single" w:sz="12" w:space="0" w:color="auto"/>
            </w:tcBorders>
            <w:shd w:val="clear" w:color="auto" w:fill="auto"/>
            <w:vAlign w:val="center"/>
            <w:hideMark/>
          </w:tcPr>
          <w:p w14:paraId="75AE8987" w14:textId="77777777" w:rsidR="00250935" w:rsidRDefault="00112117" w:rsidP="00250935">
            <w:pPr>
              <w:jc w:val="right"/>
              <w:rPr>
                <w:color w:val="000000"/>
                <w:sz w:val="22"/>
                <w:szCs w:val="22"/>
              </w:rPr>
            </w:pPr>
            <w:r w:rsidRPr="00112117">
              <w:rPr>
                <w:color w:val="000000"/>
                <w:sz w:val="22"/>
                <w:szCs w:val="22"/>
              </w:rPr>
              <w:t>6.189,09</w:t>
            </w:r>
          </w:p>
        </w:tc>
        <w:tc>
          <w:tcPr>
            <w:tcW w:w="1071" w:type="pct"/>
            <w:tcBorders>
              <w:top w:val="nil"/>
              <w:left w:val="nil"/>
              <w:bottom w:val="single" w:sz="4" w:space="0" w:color="auto"/>
              <w:right w:val="single" w:sz="12" w:space="0" w:color="auto"/>
            </w:tcBorders>
            <w:shd w:val="clear" w:color="auto" w:fill="auto"/>
            <w:vAlign w:val="center"/>
            <w:hideMark/>
          </w:tcPr>
          <w:p w14:paraId="43DEF0F6" w14:textId="77777777" w:rsidR="00250935" w:rsidRDefault="00250935" w:rsidP="00250935">
            <w:pPr>
              <w:jc w:val="right"/>
              <w:rPr>
                <w:color w:val="000000"/>
                <w:sz w:val="22"/>
                <w:szCs w:val="22"/>
              </w:rPr>
            </w:pPr>
            <w:r>
              <w:rPr>
                <w:color w:val="000000"/>
                <w:sz w:val="22"/>
                <w:szCs w:val="22"/>
              </w:rPr>
              <w:t>3.773,61</w:t>
            </w:r>
          </w:p>
        </w:tc>
      </w:tr>
      <w:tr w:rsidR="00250935" w14:paraId="75F2F9C8" w14:textId="77777777" w:rsidTr="00112117">
        <w:trPr>
          <w:trHeight w:val="290"/>
        </w:trPr>
        <w:tc>
          <w:tcPr>
            <w:tcW w:w="2836" w:type="pct"/>
            <w:tcBorders>
              <w:top w:val="nil"/>
              <w:left w:val="single" w:sz="12" w:space="0" w:color="auto"/>
              <w:bottom w:val="single" w:sz="12" w:space="0" w:color="auto"/>
              <w:right w:val="single" w:sz="12" w:space="0" w:color="auto"/>
            </w:tcBorders>
            <w:shd w:val="clear" w:color="auto" w:fill="auto"/>
            <w:vAlign w:val="center"/>
            <w:hideMark/>
          </w:tcPr>
          <w:p w14:paraId="4D01BF83" w14:textId="77777777" w:rsidR="00250935" w:rsidRDefault="00250935" w:rsidP="00250935">
            <w:pPr>
              <w:rPr>
                <w:color w:val="000000"/>
                <w:sz w:val="22"/>
                <w:szCs w:val="22"/>
              </w:rPr>
            </w:pPr>
            <w:r>
              <w:rPr>
                <w:color w:val="000000"/>
                <w:sz w:val="22"/>
                <w:szCs w:val="22"/>
              </w:rPr>
              <w:t>Σύνολο</w:t>
            </w:r>
          </w:p>
        </w:tc>
        <w:tc>
          <w:tcPr>
            <w:tcW w:w="1093" w:type="pct"/>
            <w:tcBorders>
              <w:top w:val="single" w:sz="4" w:space="0" w:color="auto"/>
              <w:left w:val="nil"/>
              <w:bottom w:val="double" w:sz="6" w:space="0" w:color="auto"/>
              <w:right w:val="single" w:sz="12" w:space="0" w:color="auto"/>
            </w:tcBorders>
            <w:shd w:val="clear" w:color="auto" w:fill="auto"/>
            <w:vAlign w:val="center"/>
            <w:hideMark/>
          </w:tcPr>
          <w:p w14:paraId="571CF55B" w14:textId="77777777" w:rsidR="00250935" w:rsidRDefault="00112117" w:rsidP="00250935">
            <w:pPr>
              <w:jc w:val="right"/>
              <w:rPr>
                <w:b/>
                <w:bCs/>
                <w:color w:val="000000"/>
                <w:sz w:val="22"/>
                <w:szCs w:val="22"/>
              </w:rPr>
            </w:pPr>
            <w:r>
              <w:rPr>
                <w:b/>
                <w:bCs/>
                <w:color w:val="000000"/>
                <w:sz w:val="22"/>
                <w:szCs w:val="22"/>
              </w:rPr>
              <w:fldChar w:fldCharType="begin"/>
            </w:r>
            <w:r>
              <w:rPr>
                <w:b/>
                <w:bCs/>
                <w:color w:val="000000"/>
                <w:sz w:val="22"/>
                <w:szCs w:val="22"/>
              </w:rPr>
              <w:instrText xml:space="preserve"> =SUM(ABOVE) </w:instrText>
            </w:r>
            <w:r>
              <w:rPr>
                <w:b/>
                <w:bCs/>
                <w:color w:val="000000"/>
                <w:sz w:val="22"/>
                <w:szCs w:val="22"/>
              </w:rPr>
              <w:fldChar w:fldCharType="separate"/>
            </w:r>
            <w:r>
              <w:rPr>
                <w:b/>
                <w:bCs/>
                <w:noProof/>
                <w:color w:val="000000"/>
                <w:sz w:val="22"/>
                <w:szCs w:val="22"/>
              </w:rPr>
              <w:t>6.258,12</w:t>
            </w:r>
            <w:r>
              <w:rPr>
                <w:b/>
                <w:bCs/>
                <w:color w:val="000000"/>
                <w:sz w:val="22"/>
                <w:szCs w:val="22"/>
              </w:rPr>
              <w:fldChar w:fldCharType="end"/>
            </w:r>
          </w:p>
        </w:tc>
        <w:tc>
          <w:tcPr>
            <w:tcW w:w="1071" w:type="pct"/>
            <w:tcBorders>
              <w:top w:val="single" w:sz="4" w:space="0" w:color="auto"/>
              <w:left w:val="nil"/>
              <w:bottom w:val="double" w:sz="6" w:space="0" w:color="auto"/>
              <w:right w:val="single" w:sz="12" w:space="0" w:color="auto"/>
            </w:tcBorders>
            <w:shd w:val="clear" w:color="auto" w:fill="auto"/>
            <w:vAlign w:val="center"/>
            <w:hideMark/>
          </w:tcPr>
          <w:p w14:paraId="0CFD8C10" w14:textId="77777777" w:rsidR="00250935" w:rsidRDefault="00250935" w:rsidP="00250935">
            <w:pPr>
              <w:jc w:val="right"/>
              <w:rPr>
                <w:b/>
                <w:bCs/>
                <w:color w:val="000000"/>
                <w:sz w:val="22"/>
                <w:szCs w:val="22"/>
              </w:rPr>
            </w:pPr>
            <w:r>
              <w:rPr>
                <w:b/>
                <w:bCs/>
                <w:color w:val="000000"/>
                <w:sz w:val="22"/>
                <w:szCs w:val="22"/>
              </w:rPr>
              <w:t>3.906,66</w:t>
            </w:r>
          </w:p>
        </w:tc>
      </w:tr>
    </w:tbl>
    <w:p w14:paraId="056561CD" w14:textId="77777777" w:rsidR="00B45F92" w:rsidRDefault="00B45F92" w:rsidP="00A52886">
      <w:pPr>
        <w:shd w:val="clear" w:color="auto" w:fill="FFFFFF"/>
        <w:spacing w:after="200" w:line="276" w:lineRule="auto"/>
        <w:ind w:left="284" w:right="14"/>
        <w:rPr>
          <w:sz w:val="22"/>
          <w:szCs w:val="22"/>
          <w:highlight w:val="yellow"/>
        </w:rPr>
      </w:pPr>
    </w:p>
    <w:p w14:paraId="1D659791" w14:textId="77777777" w:rsidR="00FF2F42" w:rsidRPr="00B45F92" w:rsidRDefault="00CA307D" w:rsidP="006949A7">
      <w:pPr>
        <w:pStyle w:val="1"/>
        <w:jc w:val="left"/>
      </w:pPr>
      <w:bookmarkStart w:id="34" w:name="_Toc488058540"/>
      <w:bookmarkStart w:id="35" w:name="_Toc15546001"/>
      <w:r w:rsidRPr="00B45F92">
        <w:t>8</w:t>
      </w:r>
      <w:r w:rsidR="00FF2F42" w:rsidRPr="00B45F92">
        <w:t>. Λ</w:t>
      </w:r>
      <w:r w:rsidR="00C75F51" w:rsidRPr="00B45F92">
        <w:t>ογαριασμοί καθαρής θέσεως</w:t>
      </w:r>
      <w:bookmarkEnd w:id="34"/>
      <w:bookmarkEnd w:id="35"/>
    </w:p>
    <w:p w14:paraId="5D7461F4" w14:textId="77777777" w:rsidR="000F132F" w:rsidRPr="00B45F92" w:rsidRDefault="000F132F" w:rsidP="000F132F">
      <w:pPr>
        <w:rPr>
          <w:sz w:val="16"/>
          <w:szCs w:val="16"/>
          <w:lang w:eastAsia="en-US"/>
        </w:rPr>
      </w:pPr>
    </w:p>
    <w:p w14:paraId="54DEA408" w14:textId="77777777" w:rsidR="00FF2F42" w:rsidRPr="00B45F92" w:rsidRDefault="00FF2F42" w:rsidP="00B82D0D">
      <w:pPr>
        <w:shd w:val="clear" w:color="auto" w:fill="FFFFFF"/>
        <w:spacing w:after="200" w:line="276" w:lineRule="auto"/>
        <w:ind w:left="5" w:right="14" w:firstLine="562"/>
        <w:jc w:val="both"/>
        <w:rPr>
          <w:sz w:val="22"/>
          <w:szCs w:val="22"/>
        </w:rPr>
      </w:pPr>
      <w:r w:rsidRPr="00B45F92">
        <w:rPr>
          <w:sz w:val="22"/>
          <w:szCs w:val="22"/>
        </w:rPr>
        <w:t xml:space="preserve">Το καταβλημένο μετοχικό κεφάλαιο της εταιρείας διαιρείται σε </w:t>
      </w:r>
      <w:r w:rsidR="000565DD" w:rsidRPr="00B45F92">
        <w:rPr>
          <w:sz w:val="22"/>
          <w:szCs w:val="22"/>
        </w:rPr>
        <w:t>1.005.500</w:t>
      </w:r>
      <w:r w:rsidRPr="00B45F92">
        <w:rPr>
          <w:sz w:val="22"/>
          <w:szCs w:val="22"/>
        </w:rPr>
        <w:t xml:space="preserve"> κοινές με δικαίωμα ψήφου μετοχές ονομαστικής αξίας € </w:t>
      </w:r>
      <w:r w:rsidR="00B73794" w:rsidRPr="00B45F92">
        <w:rPr>
          <w:sz w:val="22"/>
          <w:szCs w:val="22"/>
        </w:rPr>
        <w:t>1,00</w:t>
      </w:r>
      <w:r w:rsidRPr="00B45F92">
        <w:rPr>
          <w:sz w:val="22"/>
          <w:szCs w:val="22"/>
        </w:rPr>
        <w:t xml:space="preserve"> η κάθε μία και ανέρχεται σε € </w:t>
      </w:r>
      <w:r w:rsidR="00B73794" w:rsidRPr="00B45F92">
        <w:rPr>
          <w:sz w:val="22"/>
          <w:szCs w:val="22"/>
        </w:rPr>
        <w:t>1.005.500,00</w:t>
      </w:r>
      <w:r w:rsidRPr="00B45F92">
        <w:rPr>
          <w:sz w:val="22"/>
          <w:szCs w:val="22"/>
        </w:rPr>
        <w:t>.</w:t>
      </w:r>
      <w:r w:rsidR="009E761E" w:rsidRPr="00B45F92">
        <w:rPr>
          <w:sz w:val="22"/>
          <w:szCs w:val="22"/>
        </w:rPr>
        <w:t xml:space="preserve"> </w:t>
      </w:r>
      <w:r w:rsidR="00FA1785" w:rsidRPr="00B45F92">
        <w:rPr>
          <w:sz w:val="22"/>
          <w:szCs w:val="22"/>
        </w:rPr>
        <w:t xml:space="preserve">Το αποθεματικό υπέρ το άρτιο </w:t>
      </w:r>
      <w:r w:rsidR="0042763F" w:rsidRPr="00B45F92">
        <w:rPr>
          <w:sz w:val="22"/>
          <w:szCs w:val="22"/>
        </w:rPr>
        <w:t xml:space="preserve">ανέρχεται στο ποσό </w:t>
      </w:r>
      <w:r w:rsidR="00FA1785" w:rsidRPr="00B45F92">
        <w:rPr>
          <w:sz w:val="22"/>
          <w:szCs w:val="22"/>
        </w:rPr>
        <w:t>€ 1.336.500,00</w:t>
      </w:r>
      <w:r w:rsidR="001E115A" w:rsidRPr="00B45F92">
        <w:rPr>
          <w:sz w:val="22"/>
          <w:szCs w:val="22"/>
        </w:rPr>
        <w:t>.</w:t>
      </w:r>
    </w:p>
    <w:p w14:paraId="7C47B14D" w14:textId="77777777" w:rsidR="006065B5" w:rsidRPr="00B45F92" w:rsidRDefault="006065B5" w:rsidP="00F92EA8">
      <w:pPr>
        <w:pStyle w:val="a8"/>
      </w:pPr>
    </w:p>
    <w:p w14:paraId="6569D47A" w14:textId="77777777" w:rsidR="00F125A1" w:rsidRPr="00B45F92" w:rsidRDefault="00FF2F42" w:rsidP="00F14C81">
      <w:pPr>
        <w:pStyle w:val="1"/>
        <w:jc w:val="left"/>
        <w:rPr>
          <w:lang w:val="el-GR"/>
        </w:rPr>
      </w:pPr>
      <w:bookmarkStart w:id="36" w:name="_Toc488058541"/>
      <w:bookmarkStart w:id="37" w:name="_Toc15546002"/>
      <w:r w:rsidRPr="00B45F92">
        <w:rPr>
          <w:sz w:val="22"/>
          <w:szCs w:val="22"/>
        </w:rPr>
        <w:t>﻿</w:t>
      </w:r>
      <w:r w:rsidR="00F125A1" w:rsidRPr="00B45F92">
        <w:t>9. Προβλέψεις</w:t>
      </w:r>
      <w:bookmarkEnd w:id="36"/>
      <w:bookmarkEnd w:id="37"/>
    </w:p>
    <w:p w14:paraId="28092FC0" w14:textId="77777777" w:rsidR="00CF57A4" w:rsidRPr="00B45F92" w:rsidRDefault="00CF57A4" w:rsidP="00CF57A4">
      <w:pPr>
        <w:rPr>
          <w:lang w:eastAsia="en-US"/>
        </w:rPr>
      </w:pPr>
    </w:p>
    <w:p w14:paraId="0379B404" w14:textId="77777777" w:rsidR="00F125A1" w:rsidRPr="00B45F92" w:rsidRDefault="00F125A1" w:rsidP="00B82D0D">
      <w:pPr>
        <w:shd w:val="clear" w:color="auto" w:fill="FFFFFF"/>
        <w:spacing w:after="200" w:line="276" w:lineRule="auto"/>
        <w:ind w:left="284" w:right="14" w:hanging="284"/>
        <w:rPr>
          <w:b/>
          <w:sz w:val="22"/>
          <w:szCs w:val="22"/>
        </w:rPr>
      </w:pPr>
      <w:r w:rsidRPr="00B45F92">
        <w:rPr>
          <w:b/>
          <w:sz w:val="22"/>
          <w:szCs w:val="22"/>
        </w:rPr>
        <w:t>9.1 Πρόβλεψη αποζημίωσης προσωπικού λόγω αποχωρήσεως από την υπηρεσία</w:t>
      </w:r>
    </w:p>
    <w:p w14:paraId="6EFBBA11" w14:textId="77777777" w:rsidR="00F125A1" w:rsidRPr="00B45F92" w:rsidRDefault="005759FC" w:rsidP="00B82D0D">
      <w:pPr>
        <w:shd w:val="clear" w:color="auto" w:fill="FFFFFF"/>
        <w:spacing w:after="200" w:line="276" w:lineRule="auto"/>
        <w:ind w:left="5" w:right="14" w:firstLine="562"/>
        <w:jc w:val="both"/>
        <w:rPr>
          <w:sz w:val="22"/>
          <w:szCs w:val="22"/>
        </w:rPr>
      </w:pPr>
      <w:r w:rsidRPr="00B45F92">
        <w:rPr>
          <w:sz w:val="22"/>
          <w:szCs w:val="22"/>
        </w:rPr>
        <w:t xml:space="preserve">Δεν έχει καταχωρηθεί πρόβλεψη </w:t>
      </w:r>
      <w:r w:rsidR="00F125A1" w:rsidRPr="00B45F92">
        <w:rPr>
          <w:sz w:val="22"/>
          <w:szCs w:val="22"/>
        </w:rPr>
        <w:t>υποχρέωσης για παροχές σε εργαζομένους</w:t>
      </w:r>
      <w:r w:rsidRPr="00B45F92">
        <w:rPr>
          <w:sz w:val="22"/>
          <w:szCs w:val="22"/>
        </w:rPr>
        <w:t>.</w:t>
      </w:r>
    </w:p>
    <w:p w14:paraId="4A1E1C5B" w14:textId="77777777" w:rsidR="00F125A1" w:rsidRPr="00B45F92" w:rsidRDefault="00F125A1" w:rsidP="003554D4">
      <w:pPr>
        <w:shd w:val="clear" w:color="auto" w:fill="FFFFFF"/>
        <w:spacing w:after="200" w:line="228" w:lineRule="auto"/>
        <w:ind w:left="284" w:right="14" w:hanging="284"/>
        <w:rPr>
          <w:b/>
          <w:sz w:val="22"/>
          <w:szCs w:val="22"/>
        </w:rPr>
      </w:pPr>
      <w:r w:rsidRPr="00B45F92">
        <w:rPr>
          <w:b/>
          <w:sz w:val="22"/>
          <w:szCs w:val="22"/>
        </w:rPr>
        <w:t>9.2 Λοιπές προβλέψεις</w:t>
      </w:r>
    </w:p>
    <w:p w14:paraId="0032A468" w14:textId="77777777" w:rsidR="00804C01" w:rsidRPr="00B45F92" w:rsidRDefault="00635E18" w:rsidP="00804C01">
      <w:pPr>
        <w:shd w:val="clear" w:color="auto" w:fill="FFFFFF"/>
        <w:spacing w:after="200" w:line="228" w:lineRule="auto"/>
        <w:ind w:left="284" w:right="14"/>
        <w:rPr>
          <w:sz w:val="22"/>
          <w:szCs w:val="22"/>
        </w:rPr>
      </w:pPr>
      <w:r w:rsidRPr="00B45F92">
        <w:rPr>
          <w:sz w:val="22"/>
          <w:szCs w:val="22"/>
        </w:rPr>
        <w:t>Δεν υφίστανται λοιπές προβλέψεις.</w:t>
      </w:r>
    </w:p>
    <w:p w14:paraId="31D9D8FD" w14:textId="77777777" w:rsidR="00B45F92" w:rsidRDefault="00B45F92" w:rsidP="003554D4">
      <w:pPr>
        <w:pStyle w:val="1"/>
        <w:spacing w:line="228" w:lineRule="auto"/>
        <w:jc w:val="left"/>
        <w:rPr>
          <w:highlight w:val="yellow"/>
        </w:rPr>
      </w:pPr>
      <w:bookmarkStart w:id="38" w:name="_Toc488058542"/>
    </w:p>
    <w:p w14:paraId="0D662606" w14:textId="77777777" w:rsidR="00EF28E4" w:rsidRPr="00FA0511" w:rsidRDefault="00F75E42" w:rsidP="003554D4">
      <w:pPr>
        <w:pStyle w:val="1"/>
        <w:spacing w:line="228" w:lineRule="auto"/>
        <w:jc w:val="left"/>
      </w:pPr>
      <w:bookmarkStart w:id="39" w:name="_Toc15546003"/>
      <w:r w:rsidRPr="00FA0511">
        <w:t>10</w:t>
      </w:r>
      <w:r w:rsidR="00FF2F42" w:rsidRPr="00FA0511">
        <w:t>. Υ</w:t>
      </w:r>
      <w:r w:rsidR="00C75F51" w:rsidRPr="00FA0511">
        <w:t>ποχρεώσεις</w:t>
      </w:r>
      <w:bookmarkEnd w:id="38"/>
      <w:bookmarkEnd w:id="39"/>
    </w:p>
    <w:p w14:paraId="22CD7A51" w14:textId="77777777" w:rsidR="00F92EA8" w:rsidRPr="00FA0511" w:rsidRDefault="00F92EA8" w:rsidP="003554D4">
      <w:pPr>
        <w:spacing w:line="228" w:lineRule="auto"/>
        <w:rPr>
          <w:sz w:val="16"/>
          <w:szCs w:val="16"/>
          <w:lang w:eastAsia="en-US"/>
        </w:rPr>
      </w:pPr>
    </w:p>
    <w:p w14:paraId="3FDA2980" w14:textId="77777777" w:rsidR="009B619A" w:rsidRPr="00FA0511" w:rsidRDefault="009B619A" w:rsidP="003554D4">
      <w:pPr>
        <w:shd w:val="clear" w:color="auto" w:fill="FFFFFF"/>
        <w:spacing w:after="200" w:line="228" w:lineRule="auto"/>
        <w:ind w:left="284" w:right="14" w:hanging="284"/>
        <w:rPr>
          <w:b/>
          <w:sz w:val="22"/>
          <w:szCs w:val="22"/>
        </w:rPr>
      </w:pPr>
      <w:r w:rsidRPr="00FA0511">
        <w:rPr>
          <w:b/>
          <w:sz w:val="22"/>
          <w:szCs w:val="22"/>
        </w:rPr>
        <w:t>10.1 Μακροπρόθεσμ</w:t>
      </w:r>
      <w:r w:rsidR="00070498" w:rsidRPr="00FA0511">
        <w:rPr>
          <w:b/>
          <w:sz w:val="22"/>
          <w:szCs w:val="22"/>
        </w:rPr>
        <w:t>ες</w:t>
      </w:r>
      <w:r w:rsidRPr="00FA0511">
        <w:rPr>
          <w:b/>
          <w:sz w:val="22"/>
          <w:szCs w:val="22"/>
        </w:rPr>
        <w:t xml:space="preserve"> Υποχρεώσεις</w:t>
      </w:r>
    </w:p>
    <w:p w14:paraId="2F76F68E" w14:textId="77777777" w:rsidR="009B619A" w:rsidRPr="00FA0511" w:rsidRDefault="009B619A" w:rsidP="003554D4">
      <w:pPr>
        <w:shd w:val="clear" w:color="auto" w:fill="FFFFFF"/>
        <w:spacing w:after="200" w:line="228" w:lineRule="auto"/>
        <w:ind w:left="284" w:right="14" w:hanging="284"/>
        <w:rPr>
          <w:b/>
          <w:sz w:val="22"/>
          <w:szCs w:val="22"/>
        </w:rPr>
      </w:pPr>
      <w:r w:rsidRPr="00FA0511">
        <w:rPr>
          <w:b/>
          <w:sz w:val="22"/>
          <w:szCs w:val="22"/>
        </w:rPr>
        <w:t>10.1.1 Δάνεια</w:t>
      </w:r>
    </w:p>
    <w:p w14:paraId="01DD8460" w14:textId="77777777" w:rsidR="00B56F15" w:rsidRPr="00FA0511" w:rsidRDefault="00456A85" w:rsidP="00B56F15">
      <w:pPr>
        <w:shd w:val="clear" w:color="auto" w:fill="FFFFFF"/>
        <w:spacing w:after="200" w:line="228" w:lineRule="auto"/>
        <w:ind w:left="5" w:right="14" w:firstLine="562"/>
        <w:jc w:val="both"/>
        <w:rPr>
          <w:sz w:val="22"/>
          <w:szCs w:val="22"/>
        </w:rPr>
      </w:pPr>
      <w:r w:rsidRPr="00FA0511">
        <w:rPr>
          <w:sz w:val="22"/>
          <w:szCs w:val="22"/>
        </w:rPr>
        <w:t>Δεν υφίστανται δανειακές υποχρεώσεις.</w:t>
      </w:r>
    </w:p>
    <w:p w14:paraId="2A2C01BC" w14:textId="77777777" w:rsidR="009B619A" w:rsidRPr="00FA0511" w:rsidRDefault="00FF2F42" w:rsidP="006D6F7B">
      <w:pPr>
        <w:shd w:val="clear" w:color="auto" w:fill="FFFFFF"/>
        <w:spacing w:after="200" w:line="276" w:lineRule="auto"/>
        <w:ind w:left="567" w:right="14" w:hanging="567"/>
        <w:rPr>
          <w:b/>
          <w:sz w:val="22"/>
          <w:szCs w:val="22"/>
        </w:rPr>
      </w:pPr>
      <w:r w:rsidRPr="00FA0511">
        <w:rPr>
          <w:sz w:val="22"/>
          <w:szCs w:val="22"/>
        </w:rPr>
        <w:t>﻿</w:t>
      </w:r>
      <w:r w:rsidR="009B619A" w:rsidRPr="00FA0511">
        <w:rPr>
          <w:b/>
          <w:sz w:val="22"/>
          <w:szCs w:val="22"/>
        </w:rPr>
        <w:t xml:space="preserve">10.1.2 Λοιπές μακροπρόθεσμες υποχρεώσεις </w:t>
      </w:r>
    </w:p>
    <w:p w14:paraId="754B5F3D" w14:textId="77777777" w:rsidR="00C36C5C" w:rsidRPr="00FA0511" w:rsidRDefault="00647BE1" w:rsidP="00647BE1">
      <w:pPr>
        <w:shd w:val="clear" w:color="auto" w:fill="FFFFFF"/>
        <w:spacing w:after="200" w:line="228" w:lineRule="auto"/>
        <w:ind w:left="5" w:right="14" w:firstLine="562"/>
        <w:jc w:val="both"/>
        <w:rPr>
          <w:sz w:val="22"/>
          <w:szCs w:val="22"/>
        </w:rPr>
      </w:pPr>
      <w:r w:rsidRPr="00FA0511">
        <w:rPr>
          <w:sz w:val="22"/>
          <w:szCs w:val="22"/>
        </w:rPr>
        <w:t>Δεν υφίστανται μακροπρόθεσμες υποχρεώσεις</w:t>
      </w:r>
      <w:r w:rsidR="00B45F92" w:rsidRPr="00FA0511">
        <w:rPr>
          <w:sz w:val="22"/>
          <w:szCs w:val="22"/>
        </w:rPr>
        <w:t>.</w:t>
      </w:r>
    </w:p>
    <w:p w14:paraId="6791A51D" w14:textId="77777777" w:rsidR="009B619A" w:rsidRPr="00FA0511" w:rsidRDefault="009B619A" w:rsidP="00B82D0D">
      <w:pPr>
        <w:shd w:val="clear" w:color="auto" w:fill="FFFFFF"/>
        <w:spacing w:after="200" w:line="276" w:lineRule="auto"/>
        <w:ind w:left="284" w:right="14" w:hanging="284"/>
        <w:rPr>
          <w:b/>
          <w:sz w:val="22"/>
          <w:szCs w:val="22"/>
        </w:rPr>
      </w:pPr>
      <w:r w:rsidRPr="00FA0511">
        <w:rPr>
          <w:b/>
          <w:sz w:val="22"/>
          <w:szCs w:val="22"/>
        </w:rPr>
        <w:t xml:space="preserve">10.1.3 Κρατικές επιχορηγήσεις </w:t>
      </w:r>
    </w:p>
    <w:p w14:paraId="59783069" w14:textId="77777777" w:rsidR="00B45F92" w:rsidRPr="00FA0511" w:rsidRDefault="00B45F92" w:rsidP="00B45F92">
      <w:pPr>
        <w:shd w:val="clear" w:color="auto" w:fill="FFFFFF"/>
        <w:spacing w:after="200" w:line="228" w:lineRule="auto"/>
        <w:ind w:left="5" w:right="14" w:firstLine="562"/>
        <w:jc w:val="both"/>
        <w:rPr>
          <w:sz w:val="22"/>
          <w:szCs w:val="22"/>
        </w:rPr>
      </w:pPr>
      <w:r w:rsidRPr="00FA0511">
        <w:rPr>
          <w:sz w:val="22"/>
          <w:szCs w:val="22"/>
        </w:rPr>
        <w:t>Δεν υφίστανται κρατικές επιχορηγήσεις.</w:t>
      </w:r>
    </w:p>
    <w:p w14:paraId="72E6150B" w14:textId="77777777" w:rsidR="00070498" w:rsidRPr="00FA0511" w:rsidRDefault="00070498" w:rsidP="00B82D0D">
      <w:pPr>
        <w:shd w:val="clear" w:color="auto" w:fill="FFFFFF"/>
        <w:spacing w:after="200" w:line="276" w:lineRule="auto"/>
        <w:ind w:left="284" w:right="14" w:hanging="284"/>
        <w:rPr>
          <w:b/>
          <w:sz w:val="22"/>
          <w:szCs w:val="22"/>
        </w:rPr>
      </w:pPr>
      <w:r w:rsidRPr="00FA0511">
        <w:rPr>
          <w:b/>
          <w:sz w:val="22"/>
          <w:szCs w:val="22"/>
        </w:rPr>
        <w:t>10.2 Βραχυπρόθεσμες Υποχρεώσεις</w:t>
      </w:r>
    </w:p>
    <w:p w14:paraId="7FC22C38" w14:textId="77777777" w:rsidR="00070498" w:rsidRPr="00FA0511" w:rsidRDefault="00070498" w:rsidP="00B82D0D">
      <w:pPr>
        <w:shd w:val="clear" w:color="auto" w:fill="FFFFFF"/>
        <w:spacing w:after="200" w:line="276" w:lineRule="auto"/>
        <w:ind w:left="284" w:right="14" w:hanging="284"/>
        <w:rPr>
          <w:b/>
          <w:sz w:val="22"/>
          <w:szCs w:val="22"/>
        </w:rPr>
      </w:pPr>
      <w:r w:rsidRPr="00FA0511">
        <w:rPr>
          <w:b/>
          <w:sz w:val="22"/>
          <w:szCs w:val="22"/>
        </w:rPr>
        <w:t>10.2.1 Εμπορικές υποχρεώσεις</w:t>
      </w:r>
    </w:p>
    <w:p w14:paraId="57276FD5" w14:textId="77777777" w:rsidR="00070498" w:rsidRDefault="00070498" w:rsidP="00B82D0D">
      <w:pPr>
        <w:shd w:val="clear" w:color="auto" w:fill="FFFFFF"/>
        <w:spacing w:after="200" w:line="276" w:lineRule="auto"/>
        <w:ind w:left="284" w:right="14"/>
        <w:rPr>
          <w:sz w:val="22"/>
          <w:szCs w:val="22"/>
          <w:highlight w:val="yellow"/>
        </w:rPr>
      </w:pPr>
      <w:r w:rsidRPr="00FA0511">
        <w:rPr>
          <w:sz w:val="22"/>
          <w:szCs w:val="22"/>
        </w:rPr>
        <w:lastRenderedPageBreak/>
        <w:t>Οι εμπορικές υποχρεώσεις αναλύονται στον κατωτέρω πίνακα:</w:t>
      </w:r>
    </w:p>
    <w:tbl>
      <w:tblPr>
        <w:tblW w:w="9500" w:type="dxa"/>
        <w:tblInd w:w="123" w:type="dxa"/>
        <w:tblLook w:val="04A0" w:firstRow="1" w:lastRow="0" w:firstColumn="1" w:lastColumn="0" w:noHBand="0" w:noVBand="1"/>
      </w:tblPr>
      <w:tblGrid>
        <w:gridCol w:w="6520"/>
        <w:gridCol w:w="1440"/>
        <w:gridCol w:w="1540"/>
      </w:tblGrid>
      <w:tr w:rsidR="00112117" w14:paraId="624A648C" w14:textId="77777777" w:rsidTr="00112117">
        <w:trPr>
          <w:trHeight w:val="315"/>
        </w:trPr>
        <w:tc>
          <w:tcPr>
            <w:tcW w:w="6520"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1EFA123A" w14:textId="77777777" w:rsidR="00112117" w:rsidRDefault="00112117" w:rsidP="00112117">
            <w:pPr>
              <w:rPr>
                <w:b/>
                <w:bCs/>
                <w:color w:val="000000"/>
                <w:sz w:val="22"/>
                <w:szCs w:val="22"/>
              </w:rPr>
            </w:pPr>
            <w:r>
              <w:rPr>
                <w:b/>
                <w:bCs/>
                <w:color w:val="000000"/>
                <w:sz w:val="22"/>
                <w:szCs w:val="22"/>
              </w:rPr>
              <w:t>Εμπορικές υποχρεώσεις</w:t>
            </w:r>
          </w:p>
        </w:tc>
        <w:tc>
          <w:tcPr>
            <w:tcW w:w="1440" w:type="dxa"/>
            <w:tcBorders>
              <w:top w:val="single" w:sz="12" w:space="0" w:color="auto"/>
              <w:left w:val="nil"/>
              <w:bottom w:val="single" w:sz="12" w:space="0" w:color="auto"/>
              <w:right w:val="single" w:sz="12" w:space="0" w:color="auto"/>
            </w:tcBorders>
            <w:shd w:val="clear" w:color="auto" w:fill="auto"/>
            <w:vAlign w:val="center"/>
            <w:hideMark/>
          </w:tcPr>
          <w:p w14:paraId="7A99F85C" w14:textId="77777777" w:rsidR="00112117" w:rsidRDefault="00112117" w:rsidP="00112117">
            <w:pPr>
              <w:jc w:val="center"/>
              <w:rPr>
                <w:b/>
                <w:bCs/>
                <w:color w:val="000000"/>
                <w:sz w:val="22"/>
                <w:szCs w:val="22"/>
              </w:rPr>
            </w:pPr>
            <w:r>
              <w:rPr>
                <w:b/>
                <w:bCs/>
                <w:color w:val="000000"/>
                <w:sz w:val="22"/>
                <w:szCs w:val="22"/>
              </w:rPr>
              <w:t>31/12/2020</w:t>
            </w:r>
          </w:p>
        </w:tc>
        <w:tc>
          <w:tcPr>
            <w:tcW w:w="1540" w:type="dxa"/>
            <w:tcBorders>
              <w:top w:val="single" w:sz="12" w:space="0" w:color="auto"/>
              <w:left w:val="nil"/>
              <w:bottom w:val="single" w:sz="12" w:space="0" w:color="auto"/>
              <w:right w:val="single" w:sz="12" w:space="0" w:color="auto"/>
            </w:tcBorders>
            <w:vAlign w:val="center"/>
          </w:tcPr>
          <w:p w14:paraId="7FD9D196" w14:textId="77777777" w:rsidR="00112117" w:rsidRDefault="00112117" w:rsidP="00112117">
            <w:pPr>
              <w:jc w:val="center"/>
              <w:rPr>
                <w:b/>
                <w:bCs/>
                <w:color w:val="000000"/>
                <w:sz w:val="22"/>
                <w:szCs w:val="22"/>
              </w:rPr>
            </w:pPr>
            <w:r>
              <w:rPr>
                <w:b/>
                <w:bCs/>
                <w:color w:val="000000"/>
                <w:sz w:val="22"/>
                <w:szCs w:val="22"/>
              </w:rPr>
              <w:t>31/12/2019</w:t>
            </w:r>
          </w:p>
        </w:tc>
      </w:tr>
      <w:tr w:rsidR="00112117" w14:paraId="3AF48FB9" w14:textId="77777777" w:rsidTr="00112117">
        <w:trPr>
          <w:trHeight w:val="315"/>
        </w:trPr>
        <w:tc>
          <w:tcPr>
            <w:tcW w:w="6520" w:type="dxa"/>
            <w:tcBorders>
              <w:top w:val="nil"/>
              <w:left w:val="single" w:sz="12" w:space="0" w:color="auto"/>
              <w:bottom w:val="nil"/>
              <w:right w:val="single" w:sz="12" w:space="0" w:color="auto"/>
            </w:tcBorders>
            <w:shd w:val="clear" w:color="auto" w:fill="auto"/>
            <w:vAlign w:val="center"/>
            <w:hideMark/>
          </w:tcPr>
          <w:p w14:paraId="5B002ED7" w14:textId="77777777" w:rsidR="00112117" w:rsidRDefault="00112117" w:rsidP="00112117">
            <w:pPr>
              <w:rPr>
                <w:color w:val="000000"/>
                <w:sz w:val="22"/>
                <w:szCs w:val="22"/>
              </w:rPr>
            </w:pPr>
            <w:r>
              <w:rPr>
                <w:color w:val="000000"/>
                <w:sz w:val="22"/>
                <w:szCs w:val="22"/>
              </w:rPr>
              <w:t>Προμηθευτές</w:t>
            </w:r>
          </w:p>
        </w:tc>
        <w:tc>
          <w:tcPr>
            <w:tcW w:w="1440" w:type="dxa"/>
            <w:tcBorders>
              <w:top w:val="nil"/>
              <w:left w:val="nil"/>
              <w:bottom w:val="single" w:sz="2" w:space="0" w:color="auto"/>
              <w:right w:val="single" w:sz="12" w:space="0" w:color="auto"/>
            </w:tcBorders>
            <w:shd w:val="clear" w:color="auto" w:fill="auto"/>
            <w:vAlign w:val="center"/>
            <w:hideMark/>
          </w:tcPr>
          <w:p w14:paraId="3111E218" w14:textId="77777777" w:rsidR="00112117" w:rsidRDefault="00112117" w:rsidP="00112117">
            <w:pPr>
              <w:jc w:val="right"/>
              <w:rPr>
                <w:color w:val="000000"/>
                <w:sz w:val="22"/>
                <w:szCs w:val="22"/>
              </w:rPr>
            </w:pPr>
            <w:r w:rsidRPr="00112117">
              <w:rPr>
                <w:color w:val="000000"/>
                <w:sz w:val="22"/>
                <w:szCs w:val="22"/>
              </w:rPr>
              <w:t>882,98</w:t>
            </w:r>
          </w:p>
        </w:tc>
        <w:tc>
          <w:tcPr>
            <w:tcW w:w="1540" w:type="dxa"/>
            <w:tcBorders>
              <w:top w:val="nil"/>
              <w:left w:val="nil"/>
              <w:bottom w:val="single" w:sz="2" w:space="0" w:color="auto"/>
              <w:right w:val="single" w:sz="12" w:space="0" w:color="auto"/>
            </w:tcBorders>
            <w:vAlign w:val="center"/>
          </w:tcPr>
          <w:p w14:paraId="161B9374" w14:textId="77777777" w:rsidR="00112117" w:rsidRDefault="00112117" w:rsidP="00112117">
            <w:pPr>
              <w:jc w:val="right"/>
              <w:rPr>
                <w:color w:val="000000"/>
                <w:sz w:val="22"/>
                <w:szCs w:val="22"/>
              </w:rPr>
            </w:pPr>
            <w:r w:rsidRPr="00A258EC">
              <w:rPr>
                <w:color w:val="000000"/>
                <w:sz w:val="22"/>
                <w:szCs w:val="22"/>
              </w:rPr>
              <w:t>751,39</w:t>
            </w:r>
          </w:p>
        </w:tc>
      </w:tr>
      <w:tr w:rsidR="00112117" w14:paraId="6D0824C8" w14:textId="77777777" w:rsidTr="00112117">
        <w:trPr>
          <w:trHeight w:val="300"/>
        </w:trPr>
        <w:tc>
          <w:tcPr>
            <w:tcW w:w="6520" w:type="dxa"/>
            <w:tcBorders>
              <w:top w:val="nil"/>
              <w:left w:val="single" w:sz="12" w:space="0" w:color="auto"/>
              <w:bottom w:val="single" w:sz="12" w:space="0" w:color="auto"/>
              <w:right w:val="single" w:sz="12" w:space="0" w:color="auto"/>
            </w:tcBorders>
            <w:shd w:val="clear" w:color="auto" w:fill="auto"/>
            <w:vAlign w:val="center"/>
            <w:hideMark/>
          </w:tcPr>
          <w:p w14:paraId="533A8A17" w14:textId="77777777" w:rsidR="00112117" w:rsidRDefault="00112117" w:rsidP="00112117">
            <w:pPr>
              <w:rPr>
                <w:b/>
                <w:bCs/>
                <w:color w:val="000000"/>
                <w:sz w:val="22"/>
                <w:szCs w:val="22"/>
              </w:rPr>
            </w:pPr>
            <w:r>
              <w:rPr>
                <w:b/>
                <w:bCs/>
                <w:color w:val="000000"/>
                <w:sz w:val="22"/>
                <w:szCs w:val="22"/>
              </w:rPr>
              <w:t>Σύνολο</w:t>
            </w:r>
          </w:p>
        </w:tc>
        <w:tc>
          <w:tcPr>
            <w:tcW w:w="1440" w:type="dxa"/>
            <w:tcBorders>
              <w:top w:val="single" w:sz="2" w:space="0" w:color="auto"/>
              <w:left w:val="nil"/>
              <w:bottom w:val="double" w:sz="6" w:space="0" w:color="auto"/>
              <w:right w:val="single" w:sz="12" w:space="0" w:color="auto"/>
            </w:tcBorders>
            <w:shd w:val="clear" w:color="auto" w:fill="auto"/>
            <w:vAlign w:val="center"/>
            <w:hideMark/>
          </w:tcPr>
          <w:p w14:paraId="07D0850D" w14:textId="77777777" w:rsidR="00112117" w:rsidRDefault="00112117" w:rsidP="00112117">
            <w:pPr>
              <w:jc w:val="right"/>
              <w:rPr>
                <w:b/>
                <w:bCs/>
                <w:color w:val="000000"/>
                <w:sz w:val="22"/>
                <w:szCs w:val="22"/>
              </w:rPr>
            </w:pPr>
            <w:r w:rsidRPr="00112117">
              <w:rPr>
                <w:b/>
                <w:bCs/>
                <w:color w:val="000000"/>
                <w:sz w:val="22"/>
                <w:szCs w:val="22"/>
              </w:rPr>
              <w:t>882,98</w:t>
            </w:r>
          </w:p>
        </w:tc>
        <w:tc>
          <w:tcPr>
            <w:tcW w:w="1540" w:type="dxa"/>
            <w:tcBorders>
              <w:top w:val="single" w:sz="2" w:space="0" w:color="auto"/>
              <w:left w:val="nil"/>
              <w:bottom w:val="double" w:sz="6" w:space="0" w:color="auto"/>
              <w:right w:val="single" w:sz="12" w:space="0" w:color="auto"/>
            </w:tcBorders>
            <w:vAlign w:val="center"/>
          </w:tcPr>
          <w:p w14:paraId="658CFE64" w14:textId="77777777" w:rsidR="00112117" w:rsidRDefault="00112117" w:rsidP="00112117">
            <w:pPr>
              <w:jc w:val="right"/>
              <w:rPr>
                <w:b/>
                <w:bCs/>
                <w:color w:val="000000"/>
                <w:sz w:val="22"/>
                <w:szCs w:val="22"/>
              </w:rPr>
            </w:pPr>
            <w:r w:rsidRPr="00A258EC">
              <w:rPr>
                <w:b/>
                <w:bCs/>
                <w:color w:val="000000"/>
                <w:sz w:val="22"/>
                <w:szCs w:val="22"/>
              </w:rPr>
              <w:t>751,39</w:t>
            </w:r>
          </w:p>
        </w:tc>
      </w:tr>
    </w:tbl>
    <w:p w14:paraId="6C78006B" w14:textId="77777777" w:rsidR="00B45F92" w:rsidRDefault="00B45F92" w:rsidP="00B82D0D">
      <w:pPr>
        <w:shd w:val="clear" w:color="auto" w:fill="FFFFFF"/>
        <w:spacing w:after="200" w:line="276" w:lineRule="auto"/>
        <w:ind w:left="284" w:right="14"/>
        <w:rPr>
          <w:sz w:val="22"/>
          <w:szCs w:val="22"/>
          <w:highlight w:val="yellow"/>
        </w:rPr>
      </w:pPr>
    </w:p>
    <w:p w14:paraId="52B4FB23" w14:textId="77777777" w:rsidR="00070498" w:rsidRPr="00A760D1" w:rsidRDefault="00070498" w:rsidP="00B82D0D">
      <w:pPr>
        <w:shd w:val="clear" w:color="auto" w:fill="FFFFFF"/>
        <w:spacing w:after="200" w:line="276" w:lineRule="auto"/>
        <w:ind w:left="284" w:right="14" w:hanging="284"/>
        <w:rPr>
          <w:b/>
          <w:sz w:val="22"/>
          <w:szCs w:val="22"/>
        </w:rPr>
      </w:pPr>
      <w:r w:rsidRPr="00A760D1">
        <w:rPr>
          <w:b/>
          <w:sz w:val="22"/>
          <w:szCs w:val="22"/>
        </w:rPr>
        <w:t>10.2.2 Λοιπές υποχρεώσεις</w:t>
      </w:r>
    </w:p>
    <w:p w14:paraId="041347B5" w14:textId="77777777" w:rsidR="00070498" w:rsidRPr="00A760D1" w:rsidRDefault="00070498" w:rsidP="00B82D0D">
      <w:pPr>
        <w:shd w:val="clear" w:color="auto" w:fill="FFFFFF"/>
        <w:spacing w:after="200" w:line="276" w:lineRule="auto"/>
        <w:ind w:left="284" w:right="14"/>
        <w:rPr>
          <w:sz w:val="22"/>
          <w:szCs w:val="22"/>
        </w:rPr>
      </w:pPr>
      <w:r w:rsidRPr="00A760D1">
        <w:rPr>
          <w:sz w:val="22"/>
          <w:szCs w:val="22"/>
        </w:rPr>
        <w:t xml:space="preserve">Οι </w:t>
      </w:r>
      <w:r w:rsidR="00BA3252" w:rsidRPr="00A760D1">
        <w:rPr>
          <w:sz w:val="22"/>
          <w:szCs w:val="22"/>
        </w:rPr>
        <w:t xml:space="preserve">λοιπές </w:t>
      </w:r>
      <w:r w:rsidRPr="00A760D1">
        <w:rPr>
          <w:sz w:val="22"/>
          <w:szCs w:val="22"/>
        </w:rPr>
        <w:t>υποχρεώσεις αναλύονται στον κατωτέρω πίνακα:</w:t>
      </w:r>
    </w:p>
    <w:tbl>
      <w:tblPr>
        <w:tblW w:w="5000" w:type="pct"/>
        <w:tblLook w:val="04A0" w:firstRow="1" w:lastRow="0" w:firstColumn="1" w:lastColumn="0" w:noHBand="0" w:noVBand="1"/>
      </w:tblPr>
      <w:tblGrid>
        <w:gridCol w:w="6926"/>
        <w:gridCol w:w="1371"/>
        <w:gridCol w:w="1425"/>
      </w:tblGrid>
      <w:tr w:rsidR="00A258EC" w14:paraId="4BE06A3C" w14:textId="77777777" w:rsidTr="00A258EC">
        <w:trPr>
          <w:trHeight w:val="330"/>
        </w:trPr>
        <w:tc>
          <w:tcPr>
            <w:tcW w:w="3562" w:type="pct"/>
            <w:tcBorders>
              <w:top w:val="single" w:sz="12" w:space="0" w:color="auto"/>
              <w:left w:val="single" w:sz="12" w:space="0" w:color="auto"/>
              <w:bottom w:val="single" w:sz="12" w:space="0" w:color="auto"/>
              <w:right w:val="single" w:sz="12" w:space="0" w:color="auto"/>
            </w:tcBorders>
            <w:shd w:val="clear" w:color="auto" w:fill="auto"/>
            <w:vAlign w:val="center"/>
            <w:hideMark/>
          </w:tcPr>
          <w:p w14:paraId="72B2A3FF" w14:textId="77777777" w:rsidR="00A258EC" w:rsidRDefault="00A258EC">
            <w:pPr>
              <w:rPr>
                <w:b/>
                <w:bCs/>
                <w:color w:val="000000"/>
                <w:sz w:val="22"/>
                <w:szCs w:val="22"/>
              </w:rPr>
            </w:pPr>
            <w:r>
              <w:rPr>
                <w:b/>
                <w:bCs/>
                <w:color w:val="000000"/>
                <w:sz w:val="22"/>
                <w:szCs w:val="22"/>
              </w:rPr>
              <w:t>Λοιπές υποχρεώσεις</w:t>
            </w:r>
          </w:p>
        </w:tc>
        <w:tc>
          <w:tcPr>
            <w:tcW w:w="705" w:type="pct"/>
            <w:tcBorders>
              <w:top w:val="single" w:sz="12" w:space="0" w:color="auto"/>
              <w:left w:val="nil"/>
              <w:bottom w:val="single" w:sz="12" w:space="0" w:color="auto"/>
              <w:right w:val="single" w:sz="12" w:space="0" w:color="auto"/>
            </w:tcBorders>
            <w:shd w:val="clear" w:color="auto" w:fill="auto"/>
            <w:vAlign w:val="center"/>
            <w:hideMark/>
          </w:tcPr>
          <w:p w14:paraId="4A4A6526" w14:textId="77777777" w:rsidR="00A258EC" w:rsidRDefault="00112117">
            <w:pPr>
              <w:jc w:val="center"/>
              <w:rPr>
                <w:b/>
                <w:bCs/>
                <w:color w:val="000000"/>
                <w:sz w:val="22"/>
                <w:szCs w:val="22"/>
              </w:rPr>
            </w:pPr>
            <w:r>
              <w:rPr>
                <w:b/>
                <w:bCs/>
                <w:color w:val="000000"/>
                <w:sz w:val="22"/>
                <w:szCs w:val="22"/>
              </w:rPr>
              <w:t>31/12/20</w:t>
            </w:r>
          </w:p>
        </w:tc>
        <w:tc>
          <w:tcPr>
            <w:tcW w:w="733" w:type="pct"/>
            <w:tcBorders>
              <w:top w:val="single" w:sz="12" w:space="0" w:color="auto"/>
              <w:left w:val="nil"/>
              <w:bottom w:val="single" w:sz="12" w:space="0" w:color="auto"/>
              <w:right w:val="single" w:sz="12" w:space="0" w:color="auto"/>
            </w:tcBorders>
            <w:shd w:val="clear" w:color="auto" w:fill="auto"/>
            <w:vAlign w:val="center"/>
            <w:hideMark/>
          </w:tcPr>
          <w:p w14:paraId="231731DB" w14:textId="77777777" w:rsidR="00A258EC" w:rsidRDefault="00A258EC">
            <w:pPr>
              <w:jc w:val="center"/>
              <w:rPr>
                <w:b/>
                <w:bCs/>
                <w:color w:val="000000"/>
                <w:sz w:val="22"/>
                <w:szCs w:val="22"/>
              </w:rPr>
            </w:pPr>
            <w:r>
              <w:rPr>
                <w:b/>
                <w:bCs/>
                <w:color w:val="000000"/>
                <w:sz w:val="22"/>
                <w:szCs w:val="22"/>
              </w:rPr>
              <w:t>31/12/1</w:t>
            </w:r>
            <w:r w:rsidR="00112117">
              <w:rPr>
                <w:b/>
                <w:bCs/>
                <w:color w:val="000000"/>
                <w:sz w:val="22"/>
                <w:szCs w:val="22"/>
              </w:rPr>
              <w:t>9</w:t>
            </w:r>
          </w:p>
        </w:tc>
      </w:tr>
      <w:tr w:rsidR="00A258EC" w14:paraId="4E08A33B" w14:textId="77777777" w:rsidTr="00A258EC">
        <w:trPr>
          <w:trHeight w:val="330"/>
        </w:trPr>
        <w:tc>
          <w:tcPr>
            <w:tcW w:w="3562" w:type="pct"/>
            <w:tcBorders>
              <w:top w:val="nil"/>
              <w:left w:val="single" w:sz="12" w:space="0" w:color="auto"/>
              <w:bottom w:val="nil"/>
              <w:right w:val="single" w:sz="12" w:space="0" w:color="auto"/>
            </w:tcBorders>
            <w:shd w:val="clear" w:color="auto" w:fill="auto"/>
            <w:vAlign w:val="center"/>
            <w:hideMark/>
          </w:tcPr>
          <w:p w14:paraId="7B586B2A" w14:textId="77777777" w:rsidR="00A258EC" w:rsidRDefault="00A258EC">
            <w:pPr>
              <w:rPr>
                <w:color w:val="000000"/>
                <w:sz w:val="22"/>
                <w:szCs w:val="22"/>
              </w:rPr>
            </w:pPr>
            <w:r>
              <w:rPr>
                <w:color w:val="000000"/>
                <w:sz w:val="22"/>
                <w:szCs w:val="22"/>
              </w:rPr>
              <w:t>Υποχρεώσεις προς συνδεδεμένα μέρη</w:t>
            </w:r>
          </w:p>
        </w:tc>
        <w:tc>
          <w:tcPr>
            <w:tcW w:w="705" w:type="pct"/>
            <w:tcBorders>
              <w:top w:val="nil"/>
              <w:left w:val="nil"/>
              <w:bottom w:val="nil"/>
              <w:right w:val="single" w:sz="12" w:space="0" w:color="auto"/>
            </w:tcBorders>
            <w:shd w:val="clear" w:color="auto" w:fill="auto"/>
            <w:vAlign w:val="center"/>
            <w:hideMark/>
          </w:tcPr>
          <w:p w14:paraId="0A1435A1" w14:textId="77777777" w:rsidR="00A258EC" w:rsidRDefault="00A258EC">
            <w:pPr>
              <w:jc w:val="right"/>
              <w:rPr>
                <w:color w:val="000000"/>
                <w:sz w:val="22"/>
                <w:szCs w:val="22"/>
              </w:rPr>
            </w:pPr>
            <w:r>
              <w:rPr>
                <w:color w:val="000000"/>
                <w:sz w:val="22"/>
                <w:szCs w:val="22"/>
              </w:rPr>
              <w:t>602.675,00</w:t>
            </w:r>
          </w:p>
        </w:tc>
        <w:tc>
          <w:tcPr>
            <w:tcW w:w="733" w:type="pct"/>
            <w:tcBorders>
              <w:top w:val="nil"/>
              <w:left w:val="nil"/>
              <w:bottom w:val="nil"/>
              <w:right w:val="single" w:sz="12" w:space="0" w:color="auto"/>
            </w:tcBorders>
            <w:shd w:val="clear" w:color="auto" w:fill="auto"/>
            <w:vAlign w:val="center"/>
            <w:hideMark/>
          </w:tcPr>
          <w:p w14:paraId="445A0F45" w14:textId="77777777" w:rsidR="00A258EC" w:rsidRDefault="00A258EC">
            <w:pPr>
              <w:jc w:val="right"/>
              <w:rPr>
                <w:color w:val="000000"/>
                <w:sz w:val="22"/>
                <w:szCs w:val="22"/>
              </w:rPr>
            </w:pPr>
            <w:r>
              <w:rPr>
                <w:color w:val="000000"/>
                <w:sz w:val="22"/>
                <w:szCs w:val="22"/>
              </w:rPr>
              <w:t>602.675,00</w:t>
            </w:r>
          </w:p>
        </w:tc>
      </w:tr>
      <w:tr w:rsidR="00A258EC" w14:paraId="44ACE4DC" w14:textId="77777777" w:rsidTr="00112117">
        <w:trPr>
          <w:trHeight w:val="330"/>
        </w:trPr>
        <w:tc>
          <w:tcPr>
            <w:tcW w:w="3562" w:type="pct"/>
            <w:tcBorders>
              <w:top w:val="nil"/>
              <w:left w:val="single" w:sz="12" w:space="0" w:color="auto"/>
              <w:bottom w:val="nil"/>
              <w:right w:val="single" w:sz="12" w:space="0" w:color="auto"/>
            </w:tcBorders>
            <w:shd w:val="clear" w:color="auto" w:fill="auto"/>
            <w:vAlign w:val="center"/>
            <w:hideMark/>
          </w:tcPr>
          <w:p w14:paraId="3C6AEE1E" w14:textId="77777777" w:rsidR="00A258EC" w:rsidRDefault="00A258EC">
            <w:pPr>
              <w:rPr>
                <w:color w:val="000000"/>
                <w:sz w:val="22"/>
                <w:szCs w:val="22"/>
              </w:rPr>
            </w:pPr>
            <w:r>
              <w:rPr>
                <w:color w:val="000000"/>
                <w:sz w:val="22"/>
                <w:szCs w:val="22"/>
              </w:rPr>
              <w:t>Πιστωτές διάφοροι</w:t>
            </w:r>
          </w:p>
        </w:tc>
        <w:tc>
          <w:tcPr>
            <w:tcW w:w="705" w:type="pct"/>
            <w:tcBorders>
              <w:top w:val="nil"/>
              <w:left w:val="nil"/>
              <w:bottom w:val="single" w:sz="4" w:space="0" w:color="auto"/>
              <w:right w:val="single" w:sz="12" w:space="0" w:color="auto"/>
            </w:tcBorders>
            <w:shd w:val="clear" w:color="auto" w:fill="auto"/>
            <w:vAlign w:val="center"/>
            <w:hideMark/>
          </w:tcPr>
          <w:p w14:paraId="6D3DCD03" w14:textId="77777777" w:rsidR="00A258EC" w:rsidRPr="00112117" w:rsidRDefault="00112117">
            <w:pPr>
              <w:jc w:val="right"/>
              <w:rPr>
                <w:color w:val="000000"/>
                <w:sz w:val="22"/>
                <w:szCs w:val="22"/>
                <w:lang w:val="en-US"/>
              </w:rPr>
            </w:pPr>
            <w:r>
              <w:rPr>
                <w:color w:val="000000"/>
                <w:sz w:val="22"/>
                <w:szCs w:val="22"/>
                <w:lang w:val="en-US"/>
              </w:rPr>
              <w:t>0,00</w:t>
            </w:r>
          </w:p>
        </w:tc>
        <w:tc>
          <w:tcPr>
            <w:tcW w:w="733" w:type="pct"/>
            <w:tcBorders>
              <w:top w:val="nil"/>
              <w:left w:val="nil"/>
              <w:bottom w:val="single" w:sz="4" w:space="0" w:color="auto"/>
              <w:right w:val="single" w:sz="12" w:space="0" w:color="auto"/>
            </w:tcBorders>
            <w:shd w:val="clear" w:color="auto" w:fill="auto"/>
            <w:vAlign w:val="center"/>
            <w:hideMark/>
          </w:tcPr>
          <w:p w14:paraId="76EEDD4E" w14:textId="77777777" w:rsidR="00A258EC" w:rsidRDefault="00112117">
            <w:pPr>
              <w:jc w:val="right"/>
              <w:rPr>
                <w:color w:val="000000"/>
                <w:sz w:val="22"/>
                <w:szCs w:val="22"/>
              </w:rPr>
            </w:pPr>
            <w:r w:rsidRPr="00112117">
              <w:rPr>
                <w:color w:val="000000"/>
                <w:sz w:val="22"/>
                <w:szCs w:val="22"/>
              </w:rPr>
              <w:t>207,20</w:t>
            </w:r>
          </w:p>
        </w:tc>
      </w:tr>
      <w:tr w:rsidR="00A258EC" w14:paraId="0E16ACCD" w14:textId="77777777" w:rsidTr="00112117">
        <w:trPr>
          <w:trHeight w:val="330"/>
        </w:trPr>
        <w:tc>
          <w:tcPr>
            <w:tcW w:w="3562" w:type="pct"/>
            <w:tcBorders>
              <w:top w:val="nil"/>
              <w:left w:val="single" w:sz="12" w:space="0" w:color="auto"/>
              <w:bottom w:val="single" w:sz="12" w:space="0" w:color="auto"/>
              <w:right w:val="single" w:sz="12" w:space="0" w:color="auto"/>
            </w:tcBorders>
            <w:shd w:val="clear" w:color="auto" w:fill="auto"/>
            <w:vAlign w:val="center"/>
            <w:hideMark/>
          </w:tcPr>
          <w:p w14:paraId="37D49893" w14:textId="77777777" w:rsidR="00A258EC" w:rsidRDefault="00A258EC">
            <w:pPr>
              <w:rPr>
                <w:b/>
                <w:bCs/>
                <w:color w:val="000000"/>
                <w:sz w:val="22"/>
                <w:szCs w:val="22"/>
              </w:rPr>
            </w:pPr>
            <w:r>
              <w:rPr>
                <w:b/>
                <w:bCs/>
                <w:color w:val="000000"/>
                <w:sz w:val="22"/>
                <w:szCs w:val="22"/>
              </w:rPr>
              <w:t>Σύνολο</w:t>
            </w:r>
          </w:p>
        </w:tc>
        <w:tc>
          <w:tcPr>
            <w:tcW w:w="705" w:type="pct"/>
            <w:tcBorders>
              <w:top w:val="single" w:sz="4" w:space="0" w:color="auto"/>
              <w:left w:val="nil"/>
              <w:bottom w:val="double" w:sz="6" w:space="0" w:color="auto"/>
              <w:right w:val="single" w:sz="12" w:space="0" w:color="auto"/>
            </w:tcBorders>
            <w:shd w:val="clear" w:color="auto" w:fill="auto"/>
            <w:vAlign w:val="center"/>
            <w:hideMark/>
          </w:tcPr>
          <w:p w14:paraId="71EE1245" w14:textId="77777777" w:rsidR="00A258EC" w:rsidRDefault="00112117">
            <w:pPr>
              <w:jc w:val="right"/>
              <w:rPr>
                <w:b/>
                <w:bCs/>
                <w:color w:val="000000"/>
                <w:sz w:val="22"/>
                <w:szCs w:val="22"/>
              </w:rPr>
            </w:pPr>
            <w:r>
              <w:rPr>
                <w:b/>
                <w:bCs/>
                <w:color w:val="000000"/>
                <w:sz w:val="22"/>
                <w:szCs w:val="22"/>
              </w:rPr>
              <w:t>602.675,00</w:t>
            </w:r>
          </w:p>
        </w:tc>
        <w:tc>
          <w:tcPr>
            <w:tcW w:w="733" w:type="pct"/>
            <w:tcBorders>
              <w:top w:val="single" w:sz="4" w:space="0" w:color="auto"/>
              <w:left w:val="nil"/>
              <w:bottom w:val="double" w:sz="6" w:space="0" w:color="auto"/>
              <w:right w:val="single" w:sz="12" w:space="0" w:color="auto"/>
            </w:tcBorders>
            <w:shd w:val="clear" w:color="auto" w:fill="auto"/>
            <w:vAlign w:val="center"/>
            <w:hideMark/>
          </w:tcPr>
          <w:p w14:paraId="553FDD39" w14:textId="77777777" w:rsidR="00A258EC" w:rsidRPr="00112117" w:rsidRDefault="00112117">
            <w:pPr>
              <w:jc w:val="right"/>
              <w:rPr>
                <w:b/>
                <w:bCs/>
                <w:color w:val="000000"/>
                <w:sz w:val="22"/>
                <w:szCs w:val="22"/>
                <w:lang w:val="en-US"/>
              </w:rPr>
            </w:pPr>
            <w:r>
              <w:rPr>
                <w:b/>
                <w:bCs/>
                <w:color w:val="000000"/>
                <w:sz w:val="22"/>
                <w:szCs w:val="22"/>
              </w:rPr>
              <w:fldChar w:fldCharType="begin"/>
            </w:r>
            <w:r>
              <w:rPr>
                <w:b/>
                <w:bCs/>
                <w:color w:val="000000"/>
                <w:sz w:val="22"/>
                <w:szCs w:val="22"/>
              </w:rPr>
              <w:instrText xml:space="preserve"> =SUM(ABOVE) </w:instrText>
            </w:r>
            <w:r>
              <w:rPr>
                <w:b/>
                <w:bCs/>
                <w:color w:val="000000"/>
                <w:sz w:val="22"/>
                <w:szCs w:val="22"/>
              </w:rPr>
              <w:fldChar w:fldCharType="separate"/>
            </w:r>
            <w:r>
              <w:rPr>
                <w:b/>
                <w:bCs/>
                <w:noProof/>
                <w:color w:val="000000"/>
                <w:sz w:val="22"/>
                <w:szCs w:val="22"/>
              </w:rPr>
              <w:t>602.882,2</w:t>
            </w:r>
            <w:r>
              <w:rPr>
                <w:b/>
                <w:bCs/>
                <w:color w:val="000000"/>
                <w:sz w:val="22"/>
                <w:szCs w:val="22"/>
              </w:rPr>
              <w:fldChar w:fldCharType="end"/>
            </w:r>
            <w:r>
              <w:rPr>
                <w:b/>
                <w:bCs/>
                <w:color w:val="000000"/>
                <w:sz w:val="22"/>
                <w:szCs w:val="22"/>
                <w:lang w:val="en-US"/>
              </w:rPr>
              <w:t>0</w:t>
            </w:r>
          </w:p>
        </w:tc>
      </w:tr>
    </w:tbl>
    <w:p w14:paraId="16EFE6D4" w14:textId="77777777" w:rsidR="00070498" w:rsidRPr="00A131AE" w:rsidRDefault="00070498" w:rsidP="00523C3C">
      <w:pPr>
        <w:pStyle w:val="a8"/>
        <w:rPr>
          <w:highlight w:val="yellow"/>
        </w:rPr>
      </w:pPr>
    </w:p>
    <w:p w14:paraId="0C7708E4" w14:textId="77777777" w:rsidR="00763613" w:rsidRPr="00A760D1" w:rsidRDefault="00FC44B4" w:rsidP="00A760D1">
      <w:pPr>
        <w:pStyle w:val="1"/>
        <w:jc w:val="left"/>
      </w:pPr>
      <w:bookmarkStart w:id="40" w:name="_Toc488058543"/>
      <w:bookmarkStart w:id="41" w:name="_Toc15546004"/>
      <w:r w:rsidRPr="00A760D1">
        <w:t>1</w:t>
      </w:r>
      <w:r w:rsidR="001F2B44" w:rsidRPr="00A760D1">
        <w:t>1</w:t>
      </w:r>
      <w:r w:rsidR="00FF2F42" w:rsidRPr="00A760D1">
        <w:t xml:space="preserve">. </w:t>
      </w:r>
      <w:r w:rsidR="00763613" w:rsidRPr="00A760D1">
        <w:t>Έσοδα και έξοδα σημαντικού ποσού ή ιδιαίτερης συχνότητας ή σημασίας</w:t>
      </w:r>
      <w:bookmarkEnd w:id="40"/>
      <w:bookmarkEnd w:id="41"/>
    </w:p>
    <w:p w14:paraId="4D9CDD4E" w14:textId="77777777" w:rsidR="00523C3C" w:rsidRPr="00A760D1" w:rsidRDefault="00523C3C" w:rsidP="00A760D1">
      <w:pPr>
        <w:rPr>
          <w:sz w:val="16"/>
          <w:szCs w:val="16"/>
          <w:lang w:eastAsia="en-US"/>
        </w:rPr>
      </w:pPr>
    </w:p>
    <w:p w14:paraId="15E2E84F" w14:textId="77777777" w:rsidR="008B76FD" w:rsidRPr="00A760D1" w:rsidRDefault="008B76FD" w:rsidP="00A760D1">
      <w:pPr>
        <w:spacing w:after="200" w:line="276" w:lineRule="auto"/>
        <w:ind w:left="5" w:right="14" w:firstLine="562"/>
        <w:jc w:val="both"/>
        <w:rPr>
          <w:sz w:val="22"/>
          <w:szCs w:val="22"/>
        </w:rPr>
      </w:pPr>
      <w:r w:rsidRPr="00A760D1">
        <w:rPr>
          <w:sz w:val="22"/>
          <w:szCs w:val="22"/>
        </w:rPr>
        <w:t xml:space="preserve">Ακολουθεί ανάλυση </w:t>
      </w:r>
      <w:r w:rsidR="003E7FD4" w:rsidRPr="00A760D1">
        <w:rPr>
          <w:sz w:val="22"/>
          <w:szCs w:val="22"/>
        </w:rPr>
        <w:t xml:space="preserve">αυτών </w:t>
      </w:r>
      <w:r w:rsidRPr="00A760D1">
        <w:rPr>
          <w:sz w:val="22"/>
          <w:szCs w:val="22"/>
        </w:rPr>
        <w:t xml:space="preserve">των </w:t>
      </w:r>
      <w:r w:rsidR="00213939" w:rsidRPr="00A760D1">
        <w:rPr>
          <w:sz w:val="22"/>
          <w:szCs w:val="22"/>
        </w:rPr>
        <w:t xml:space="preserve">εσόδων και </w:t>
      </w:r>
      <w:r w:rsidRPr="00A760D1">
        <w:rPr>
          <w:sz w:val="22"/>
          <w:szCs w:val="22"/>
        </w:rPr>
        <w:t>εξόδων στους παρακάτω πίνακες:</w:t>
      </w:r>
    </w:p>
    <w:tbl>
      <w:tblPr>
        <w:tblW w:w="5000" w:type="pct"/>
        <w:tblLook w:val="04A0" w:firstRow="1" w:lastRow="0" w:firstColumn="1" w:lastColumn="0" w:noHBand="0" w:noVBand="1"/>
      </w:tblPr>
      <w:tblGrid>
        <w:gridCol w:w="6258"/>
        <w:gridCol w:w="1732"/>
        <w:gridCol w:w="1732"/>
      </w:tblGrid>
      <w:tr w:rsidR="00A760D1" w14:paraId="42C70F7E" w14:textId="77777777" w:rsidTr="00A760D1">
        <w:trPr>
          <w:trHeight w:val="315"/>
        </w:trPr>
        <w:tc>
          <w:tcPr>
            <w:tcW w:w="3218" w:type="pct"/>
            <w:tcBorders>
              <w:top w:val="single" w:sz="12" w:space="0" w:color="auto"/>
              <w:left w:val="single" w:sz="12" w:space="0" w:color="auto"/>
              <w:bottom w:val="single" w:sz="12" w:space="0" w:color="auto"/>
              <w:right w:val="single" w:sz="12" w:space="0" w:color="auto"/>
            </w:tcBorders>
            <w:shd w:val="clear" w:color="auto" w:fill="auto"/>
            <w:vAlign w:val="center"/>
            <w:hideMark/>
          </w:tcPr>
          <w:p w14:paraId="3CF6D28D" w14:textId="77777777" w:rsidR="00A760D1" w:rsidRDefault="00A760D1">
            <w:pPr>
              <w:rPr>
                <w:b/>
                <w:bCs/>
                <w:color w:val="000000"/>
                <w:sz w:val="22"/>
                <w:szCs w:val="22"/>
              </w:rPr>
            </w:pPr>
            <w:r>
              <w:rPr>
                <w:b/>
                <w:bCs/>
                <w:color w:val="000000"/>
                <w:sz w:val="22"/>
                <w:szCs w:val="22"/>
              </w:rPr>
              <w:t>Έσοδα</w:t>
            </w:r>
          </w:p>
        </w:tc>
        <w:tc>
          <w:tcPr>
            <w:tcW w:w="891" w:type="pct"/>
            <w:tcBorders>
              <w:top w:val="single" w:sz="12" w:space="0" w:color="auto"/>
              <w:left w:val="nil"/>
              <w:bottom w:val="single" w:sz="12" w:space="0" w:color="auto"/>
              <w:right w:val="single" w:sz="12" w:space="0" w:color="auto"/>
            </w:tcBorders>
            <w:shd w:val="clear" w:color="auto" w:fill="auto"/>
            <w:vAlign w:val="center"/>
            <w:hideMark/>
          </w:tcPr>
          <w:p w14:paraId="63F8395F" w14:textId="77777777" w:rsidR="00A760D1" w:rsidRDefault="00112117">
            <w:pPr>
              <w:jc w:val="center"/>
              <w:rPr>
                <w:b/>
                <w:bCs/>
                <w:color w:val="000000"/>
                <w:sz w:val="22"/>
                <w:szCs w:val="22"/>
              </w:rPr>
            </w:pPr>
            <w:r>
              <w:rPr>
                <w:b/>
                <w:bCs/>
                <w:color w:val="000000"/>
                <w:sz w:val="22"/>
                <w:szCs w:val="22"/>
              </w:rPr>
              <w:t>31/12/2020</w:t>
            </w:r>
          </w:p>
        </w:tc>
        <w:tc>
          <w:tcPr>
            <w:tcW w:w="891" w:type="pct"/>
            <w:tcBorders>
              <w:top w:val="single" w:sz="12" w:space="0" w:color="auto"/>
              <w:left w:val="nil"/>
              <w:bottom w:val="single" w:sz="12" w:space="0" w:color="auto"/>
              <w:right w:val="single" w:sz="12" w:space="0" w:color="auto"/>
            </w:tcBorders>
            <w:shd w:val="clear" w:color="auto" w:fill="auto"/>
            <w:vAlign w:val="center"/>
            <w:hideMark/>
          </w:tcPr>
          <w:p w14:paraId="44BDDCA9" w14:textId="77777777" w:rsidR="00A760D1" w:rsidRDefault="00A760D1">
            <w:pPr>
              <w:jc w:val="center"/>
              <w:rPr>
                <w:b/>
                <w:bCs/>
                <w:color w:val="000000"/>
                <w:sz w:val="22"/>
                <w:szCs w:val="22"/>
              </w:rPr>
            </w:pPr>
            <w:r>
              <w:rPr>
                <w:b/>
                <w:bCs/>
                <w:color w:val="000000"/>
                <w:sz w:val="22"/>
                <w:szCs w:val="22"/>
              </w:rPr>
              <w:t>31/12/201</w:t>
            </w:r>
            <w:r w:rsidR="00112117">
              <w:rPr>
                <w:b/>
                <w:bCs/>
                <w:color w:val="000000"/>
                <w:sz w:val="22"/>
                <w:szCs w:val="22"/>
              </w:rPr>
              <w:t>9</w:t>
            </w:r>
          </w:p>
        </w:tc>
      </w:tr>
      <w:tr w:rsidR="00A760D1" w14:paraId="47D9AEB6" w14:textId="77777777" w:rsidTr="00A760D1">
        <w:trPr>
          <w:trHeight w:val="315"/>
        </w:trPr>
        <w:tc>
          <w:tcPr>
            <w:tcW w:w="3218" w:type="pct"/>
            <w:tcBorders>
              <w:top w:val="nil"/>
              <w:left w:val="single" w:sz="12" w:space="0" w:color="auto"/>
              <w:bottom w:val="nil"/>
              <w:right w:val="single" w:sz="12" w:space="0" w:color="auto"/>
            </w:tcBorders>
            <w:shd w:val="clear" w:color="auto" w:fill="auto"/>
            <w:vAlign w:val="center"/>
            <w:hideMark/>
          </w:tcPr>
          <w:p w14:paraId="69AA3547" w14:textId="77777777" w:rsidR="00A760D1" w:rsidRDefault="00A760D1">
            <w:pPr>
              <w:rPr>
                <w:color w:val="000000"/>
                <w:sz w:val="22"/>
                <w:szCs w:val="22"/>
              </w:rPr>
            </w:pPr>
            <w:r>
              <w:rPr>
                <w:color w:val="000000"/>
                <w:sz w:val="22"/>
                <w:szCs w:val="22"/>
              </w:rPr>
              <w:t>Λοιπά έκτακτα και ανόργανα έσοδα</w:t>
            </w:r>
          </w:p>
        </w:tc>
        <w:tc>
          <w:tcPr>
            <w:tcW w:w="891" w:type="pct"/>
            <w:tcBorders>
              <w:top w:val="nil"/>
              <w:left w:val="nil"/>
              <w:bottom w:val="single" w:sz="2" w:space="0" w:color="auto"/>
              <w:right w:val="single" w:sz="12" w:space="0" w:color="auto"/>
            </w:tcBorders>
            <w:shd w:val="clear" w:color="auto" w:fill="auto"/>
            <w:vAlign w:val="center"/>
            <w:hideMark/>
          </w:tcPr>
          <w:p w14:paraId="41CAE332" w14:textId="77777777" w:rsidR="00A760D1" w:rsidRDefault="00112117">
            <w:pPr>
              <w:jc w:val="right"/>
              <w:rPr>
                <w:color w:val="000000"/>
                <w:sz w:val="22"/>
                <w:szCs w:val="22"/>
              </w:rPr>
            </w:pPr>
            <w:r>
              <w:rPr>
                <w:color w:val="000000"/>
                <w:sz w:val="22"/>
                <w:szCs w:val="22"/>
              </w:rPr>
              <w:t>0,00</w:t>
            </w:r>
          </w:p>
        </w:tc>
        <w:tc>
          <w:tcPr>
            <w:tcW w:w="891" w:type="pct"/>
            <w:tcBorders>
              <w:top w:val="nil"/>
              <w:left w:val="nil"/>
              <w:bottom w:val="single" w:sz="2" w:space="0" w:color="auto"/>
              <w:right w:val="single" w:sz="12" w:space="0" w:color="auto"/>
            </w:tcBorders>
            <w:shd w:val="clear" w:color="auto" w:fill="auto"/>
            <w:vAlign w:val="center"/>
            <w:hideMark/>
          </w:tcPr>
          <w:p w14:paraId="1F7ADF6A" w14:textId="77777777" w:rsidR="00A760D1" w:rsidRPr="00A258EC" w:rsidRDefault="00112117">
            <w:pPr>
              <w:jc w:val="right"/>
              <w:rPr>
                <w:color w:val="000000"/>
                <w:sz w:val="22"/>
                <w:szCs w:val="22"/>
                <w:lang w:val="en-US"/>
              </w:rPr>
            </w:pPr>
            <w:r>
              <w:rPr>
                <w:color w:val="000000"/>
                <w:sz w:val="22"/>
                <w:szCs w:val="22"/>
                <w:lang w:val="en-US"/>
              </w:rPr>
              <w:t>0,48</w:t>
            </w:r>
          </w:p>
        </w:tc>
      </w:tr>
      <w:tr w:rsidR="00A760D1" w14:paraId="153B9172" w14:textId="77777777" w:rsidTr="00A760D1">
        <w:trPr>
          <w:trHeight w:val="300"/>
        </w:trPr>
        <w:tc>
          <w:tcPr>
            <w:tcW w:w="3218" w:type="pct"/>
            <w:tcBorders>
              <w:top w:val="nil"/>
              <w:left w:val="single" w:sz="12" w:space="0" w:color="auto"/>
              <w:bottom w:val="single" w:sz="12" w:space="0" w:color="auto"/>
              <w:right w:val="single" w:sz="12" w:space="0" w:color="auto"/>
            </w:tcBorders>
            <w:shd w:val="clear" w:color="auto" w:fill="auto"/>
            <w:vAlign w:val="center"/>
            <w:hideMark/>
          </w:tcPr>
          <w:p w14:paraId="051067B8" w14:textId="77777777" w:rsidR="00A760D1" w:rsidRDefault="00A760D1">
            <w:pPr>
              <w:rPr>
                <w:b/>
                <w:bCs/>
                <w:color w:val="000000"/>
                <w:sz w:val="22"/>
                <w:szCs w:val="22"/>
              </w:rPr>
            </w:pPr>
            <w:r>
              <w:rPr>
                <w:b/>
                <w:bCs/>
                <w:color w:val="000000"/>
                <w:sz w:val="22"/>
                <w:szCs w:val="22"/>
              </w:rPr>
              <w:t>Σύνολο</w:t>
            </w:r>
          </w:p>
        </w:tc>
        <w:tc>
          <w:tcPr>
            <w:tcW w:w="891" w:type="pct"/>
            <w:tcBorders>
              <w:top w:val="single" w:sz="2" w:space="0" w:color="auto"/>
              <w:left w:val="nil"/>
              <w:bottom w:val="double" w:sz="6" w:space="0" w:color="auto"/>
              <w:right w:val="single" w:sz="12" w:space="0" w:color="auto"/>
            </w:tcBorders>
            <w:shd w:val="clear" w:color="auto" w:fill="auto"/>
            <w:vAlign w:val="center"/>
            <w:hideMark/>
          </w:tcPr>
          <w:p w14:paraId="6167AB06" w14:textId="77777777" w:rsidR="00A760D1" w:rsidRDefault="00112117">
            <w:pPr>
              <w:jc w:val="right"/>
              <w:rPr>
                <w:b/>
                <w:bCs/>
                <w:color w:val="000000"/>
                <w:sz w:val="22"/>
                <w:szCs w:val="22"/>
              </w:rPr>
            </w:pPr>
            <w:r>
              <w:rPr>
                <w:b/>
                <w:bCs/>
                <w:color w:val="000000"/>
                <w:sz w:val="22"/>
                <w:szCs w:val="22"/>
              </w:rPr>
              <w:t>0,00</w:t>
            </w:r>
          </w:p>
        </w:tc>
        <w:tc>
          <w:tcPr>
            <w:tcW w:w="891" w:type="pct"/>
            <w:tcBorders>
              <w:top w:val="single" w:sz="2" w:space="0" w:color="auto"/>
              <w:left w:val="nil"/>
              <w:bottom w:val="double" w:sz="6" w:space="0" w:color="auto"/>
              <w:right w:val="single" w:sz="12" w:space="0" w:color="auto"/>
            </w:tcBorders>
            <w:shd w:val="clear" w:color="auto" w:fill="auto"/>
            <w:vAlign w:val="center"/>
            <w:hideMark/>
          </w:tcPr>
          <w:p w14:paraId="6118F353" w14:textId="77777777" w:rsidR="00A760D1" w:rsidRPr="00A258EC" w:rsidRDefault="00112117">
            <w:pPr>
              <w:jc w:val="right"/>
              <w:rPr>
                <w:b/>
                <w:bCs/>
                <w:color w:val="000000"/>
                <w:sz w:val="22"/>
                <w:szCs w:val="22"/>
                <w:lang w:val="en-US"/>
              </w:rPr>
            </w:pPr>
            <w:r>
              <w:rPr>
                <w:b/>
                <w:bCs/>
                <w:color w:val="000000"/>
                <w:sz w:val="22"/>
                <w:szCs w:val="22"/>
                <w:lang w:val="en-US"/>
              </w:rPr>
              <w:t>0,48</w:t>
            </w:r>
          </w:p>
        </w:tc>
      </w:tr>
    </w:tbl>
    <w:p w14:paraId="2947712C" w14:textId="77777777" w:rsidR="00A760D1" w:rsidRPr="00A131AE" w:rsidRDefault="00A760D1" w:rsidP="00B82D0D">
      <w:pPr>
        <w:shd w:val="clear" w:color="auto" w:fill="FFFFFF"/>
        <w:spacing w:after="200" w:line="276" w:lineRule="auto"/>
        <w:ind w:left="5" w:right="14" w:firstLine="562"/>
        <w:jc w:val="both"/>
        <w:rPr>
          <w:sz w:val="22"/>
          <w:szCs w:val="22"/>
          <w:highlight w:val="yellow"/>
        </w:rPr>
      </w:pPr>
    </w:p>
    <w:tbl>
      <w:tblPr>
        <w:tblW w:w="5000" w:type="pct"/>
        <w:tblLook w:val="04A0" w:firstRow="1" w:lastRow="0" w:firstColumn="1" w:lastColumn="0" w:noHBand="0" w:noVBand="1"/>
      </w:tblPr>
      <w:tblGrid>
        <w:gridCol w:w="6258"/>
        <w:gridCol w:w="1732"/>
        <w:gridCol w:w="1732"/>
      </w:tblGrid>
      <w:tr w:rsidR="00A760D1" w14:paraId="01054999" w14:textId="77777777" w:rsidTr="00A760D1">
        <w:trPr>
          <w:trHeight w:val="315"/>
        </w:trPr>
        <w:tc>
          <w:tcPr>
            <w:tcW w:w="3218" w:type="pct"/>
            <w:tcBorders>
              <w:top w:val="single" w:sz="12" w:space="0" w:color="auto"/>
              <w:left w:val="single" w:sz="12" w:space="0" w:color="auto"/>
              <w:bottom w:val="single" w:sz="12" w:space="0" w:color="auto"/>
              <w:right w:val="single" w:sz="12" w:space="0" w:color="auto"/>
            </w:tcBorders>
            <w:shd w:val="clear" w:color="auto" w:fill="auto"/>
            <w:vAlign w:val="center"/>
            <w:hideMark/>
          </w:tcPr>
          <w:p w14:paraId="34CD65A6" w14:textId="77777777" w:rsidR="00A760D1" w:rsidRDefault="00A760D1">
            <w:pPr>
              <w:rPr>
                <w:b/>
                <w:bCs/>
                <w:color w:val="000000"/>
                <w:sz w:val="22"/>
                <w:szCs w:val="22"/>
              </w:rPr>
            </w:pPr>
            <w:r>
              <w:rPr>
                <w:b/>
                <w:bCs/>
                <w:color w:val="000000"/>
                <w:sz w:val="22"/>
                <w:szCs w:val="22"/>
              </w:rPr>
              <w:t>Έξοδα</w:t>
            </w:r>
          </w:p>
        </w:tc>
        <w:tc>
          <w:tcPr>
            <w:tcW w:w="891" w:type="pct"/>
            <w:tcBorders>
              <w:top w:val="single" w:sz="12" w:space="0" w:color="auto"/>
              <w:left w:val="nil"/>
              <w:bottom w:val="single" w:sz="12" w:space="0" w:color="auto"/>
              <w:right w:val="single" w:sz="12" w:space="0" w:color="auto"/>
            </w:tcBorders>
            <w:shd w:val="clear" w:color="auto" w:fill="auto"/>
            <w:vAlign w:val="center"/>
            <w:hideMark/>
          </w:tcPr>
          <w:p w14:paraId="46C161C7" w14:textId="77777777" w:rsidR="00A760D1" w:rsidRDefault="00A760D1">
            <w:pPr>
              <w:jc w:val="center"/>
              <w:rPr>
                <w:b/>
                <w:bCs/>
                <w:color w:val="000000"/>
                <w:sz w:val="22"/>
                <w:szCs w:val="22"/>
              </w:rPr>
            </w:pPr>
            <w:r>
              <w:rPr>
                <w:b/>
                <w:bCs/>
                <w:color w:val="000000"/>
                <w:sz w:val="22"/>
                <w:szCs w:val="22"/>
              </w:rPr>
              <w:t>31/12/2018</w:t>
            </w:r>
          </w:p>
        </w:tc>
        <w:tc>
          <w:tcPr>
            <w:tcW w:w="891" w:type="pct"/>
            <w:tcBorders>
              <w:top w:val="single" w:sz="12" w:space="0" w:color="auto"/>
              <w:left w:val="nil"/>
              <w:bottom w:val="single" w:sz="12" w:space="0" w:color="auto"/>
              <w:right w:val="single" w:sz="12" w:space="0" w:color="auto"/>
            </w:tcBorders>
            <w:shd w:val="clear" w:color="auto" w:fill="auto"/>
            <w:vAlign w:val="center"/>
            <w:hideMark/>
          </w:tcPr>
          <w:p w14:paraId="03D0EC48" w14:textId="77777777" w:rsidR="00A760D1" w:rsidRDefault="00A760D1">
            <w:pPr>
              <w:jc w:val="center"/>
              <w:rPr>
                <w:b/>
                <w:bCs/>
                <w:color w:val="000000"/>
                <w:sz w:val="22"/>
                <w:szCs w:val="22"/>
              </w:rPr>
            </w:pPr>
            <w:r>
              <w:rPr>
                <w:b/>
                <w:bCs/>
                <w:color w:val="000000"/>
                <w:sz w:val="22"/>
                <w:szCs w:val="22"/>
              </w:rPr>
              <w:t>31/12/201</w:t>
            </w:r>
            <w:r w:rsidR="00112117">
              <w:rPr>
                <w:b/>
                <w:bCs/>
                <w:color w:val="000000"/>
                <w:sz w:val="22"/>
                <w:szCs w:val="22"/>
              </w:rPr>
              <w:t>9</w:t>
            </w:r>
          </w:p>
        </w:tc>
      </w:tr>
      <w:tr w:rsidR="00A258EC" w14:paraId="4A9387C4" w14:textId="77777777" w:rsidTr="00A760D1">
        <w:trPr>
          <w:trHeight w:val="300"/>
        </w:trPr>
        <w:tc>
          <w:tcPr>
            <w:tcW w:w="3218" w:type="pct"/>
            <w:tcBorders>
              <w:top w:val="nil"/>
              <w:left w:val="single" w:sz="12" w:space="0" w:color="auto"/>
              <w:bottom w:val="nil"/>
              <w:right w:val="single" w:sz="12" w:space="0" w:color="auto"/>
            </w:tcBorders>
            <w:shd w:val="clear" w:color="auto" w:fill="auto"/>
            <w:vAlign w:val="center"/>
            <w:hideMark/>
          </w:tcPr>
          <w:p w14:paraId="42E511FA" w14:textId="77777777" w:rsidR="00A258EC" w:rsidRDefault="00A258EC" w:rsidP="00A258EC">
            <w:pPr>
              <w:rPr>
                <w:color w:val="000000"/>
                <w:sz w:val="22"/>
                <w:szCs w:val="22"/>
              </w:rPr>
            </w:pPr>
            <w:r>
              <w:rPr>
                <w:color w:val="000000"/>
                <w:sz w:val="22"/>
                <w:szCs w:val="22"/>
              </w:rPr>
              <w:t>Συναλλαγματικές διαφορές</w:t>
            </w:r>
          </w:p>
        </w:tc>
        <w:tc>
          <w:tcPr>
            <w:tcW w:w="891" w:type="pct"/>
            <w:tcBorders>
              <w:top w:val="nil"/>
              <w:left w:val="nil"/>
              <w:bottom w:val="nil"/>
              <w:right w:val="single" w:sz="12" w:space="0" w:color="auto"/>
            </w:tcBorders>
            <w:shd w:val="clear" w:color="auto" w:fill="auto"/>
            <w:vAlign w:val="center"/>
            <w:hideMark/>
          </w:tcPr>
          <w:p w14:paraId="68EF81C8" w14:textId="77777777" w:rsidR="00A258EC" w:rsidRPr="00A258EC" w:rsidRDefault="00BA57FE" w:rsidP="00A258EC">
            <w:pPr>
              <w:jc w:val="right"/>
              <w:rPr>
                <w:color w:val="000000"/>
                <w:sz w:val="22"/>
                <w:szCs w:val="22"/>
                <w:lang w:val="en-US"/>
              </w:rPr>
            </w:pPr>
            <w:r>
              <w:rPr>
                <w:color w:val="000000"/>
                <w:sz w:val="22"/>
                <w:szCs w:val="22"/>
                <w:lang w:val="en-US"/>
              </w:rPr>
              <w:t>0,00</w:t>
            </w:r>
          </w:p>
        </w:tc>
        <w:tc>
          <w:tcPr>
            <w:tcW w:w="891" w:type="pct"/>
            <w:tcBorders>
              <w:top w:val="nil"/>
              <w:left w:val="nil"/>
              <w:bottom w:val="nil"/>
              <w:right w:val="single" w:sz="12" w:space="0" w:color="auto"/>
            </w:tcBorders>
            <w:shd w:val="clear" w:color="auto" w:fill="auto"/>
            <w:vAlign w:val="center"/>
            <w:hideMark/>
          </w:tcPr>
          <w:p w14:paraId="4752B26B" w14:textId="77777777" w:rsidR="00A258EC" w:rsidRPr="00112117" w:rsidRDefault="00112117" w:rsidP="00A258EC">
            <w:pPr>
              <w:jc w:val="right"/>
              <w:rPr>
                <w:color w:val="000000"/>
                <w:sz w:val="22"/>
                <w:szCs w:val="22"/>
                <w:lang w:val="en-US"/>
              </w:rPr>
            </w:pPr>
            <w:r>
              <w:rPr>
                <w:color w:val="000000"/>
                <w:sz w:val="22"/>
                <w:szCs w:val="22"/>
                <w:lang w:val="en-US"/>
              </w:rPr>
              <w:t>150,95</w:t>
            </w:r>
          </w:p>
        </w:tc>
      </w:tr>
      <w:tr w:rsidR="00A258EC" w14:paraId="2CAFE315" w14:textId="77777777" w:rsidTr="00A760D1">
        <w:trPr>
          <w:trHeight w:val="300"/>
        </w:trPr>
        <w:tc>
          <w:tcPr>
            <w:tcW w:w="3218" w:type="pct"/>
            <w:tcBorders>
              <w:top w:val="nil"/>
              <w:left w:val="single" w:sz="12" w:space="0" w:color="auto"/>
              <w:bottom w:val="nil"/>
              <w:right w:val="single" w:sz="12" w:space="0" w:color="auto"/>
            </w:tcBorders>
            <w:shd w:val="clear" w:color="auto" w:fill="auto"/>
            <w:vAlign w:val="center"/>
            <w:hideMark/>
          </w:tcPr>
          <w:p w14:paraId="18CC3C54" w14:textId="77777777" w:rsidR="00A258EC" w:rsidRDefault="00A258EC" w:rsidP="00A258EC">
            <w:pPr>
              <w:rPr>
                <w:color w:val="000000"/>
                <w:sz w:val="22"/>
                <w:szCs w:val="22"/>
              </w:rPr>
            </w:pPr>
            <w:r>
              <w:rPr>
                <w:color w:val="000000"/>
                <w:sz w:val="22"/>
                <w:szCs w:val="22"/>
              </w:rPr>
              <w:t>Λοιπά έξοδα</w:t>
            </w:r>
          </w:p>
        </w:tc>
        <w:tc>
          <w:tcPr>
            <w:tcW w:w="891" w:type="pct"/>
            <w:tcBorders>
              <w:top w:val="nil"/>
              <w:left w:val="nil"/>
              <w:bottom w:val="single" w:sz="2" w:space="0" w:color="auto"/>
              <w:right w:val="single" w:sz="12" w:space="0" w:color="auto"/>
            </w:tcBorders>
            <w:shd w:val="clear" w:color="auto" w:fill="auto"/>
            <w:vAlign w:val="center"/>
            <w:hideMark/>
          </w:tcPr>
          <w:p w14:paraId="6E3318FC" w14:textId="77777777" w:rsidR="00A258EC" w:rsidRPr="00A258EC" w:rsidRDefault="00BA57FE" w:rsidP="00A258EC">
            <w:pPr>
              <w:jc w:val="right"/>
              <w:rPr>
                <w:color w:val="000000"/>
                <w:sz w:val="22"/>
                <w:szCs w:val="22"/>
                <w:lang w:val="en-US"/>
              </w:rPr>
            </w:pPr>
            <w:r>
              <w:rPr>
                <w:color w:val="000000"/>
                <w:sz w:val="22"/>
                <w:szCs w:val="22"/>
                <w:lang w:val="en-US"/>
              </w:rPr>
              <w:t>607,56</w:t>
            </w:r>
          </w:p>
        </w:tc>
        <w:tc>
          <w:tcPr>
            <w:tcW w:w="891" w:type="pct"/>
            <w:tcBorders>
              <w:top w:val="nil"/>
              <w:left w:val="nil"/>
              <w:bottom w:val="single" w:sz="2" w:space="0" w:color="auto"/>
              <w:right w:val="single" w:sz="12" w:space="0" w:color="auto"/>
            </w:tcBorders>
            <w:shd w:val="clear" w:color="auto" w:fill="auto"/>
            <w:vAlign w:val="center"/>
            <w:hideMark/>
          </w:tcPr>
          <w:p w14:paraId="39527DC6" w14:textId="77777777" w:rsidR="00A258EC" w:rsidRPr="00112117" w:rsidRDefault="00112117" w:rsidP="00A258EC">
            <w:pPr>
              <w:jc w:val="right"/>
              <w:rPr>
                <w:color w:val="000000"/>
                <w:sz w:val="22"/>
                <w:szCs w:val="22"/>
                <w:lang w:val="en-US"/>
              </w:rPr>
            </w:pPr>
            <w:r>
              <w:rPr>
                <w:color w:val="000000"/>
                <w:sz w:val="22"/>
                <w:szCs w:val="22"/>
                <w:lang w:val="en-US"/>
              </w:rPr>
              <w:t>6,38</w:t>
            </w:r>
          </w:p>
        </w:tc>
      </w:tr>
      <w:tr w:rsidR="00A258EC" w14:paraId="0E2722D7" w14:textId="77777777" w:rsidTr="00A760D1">
        <w:trPr>
          <w:trHeight w:val="300"/>
        </w:trPr>
        <w:tc>
          <w:tcPr>
            <w:tcW w:w="3218" w:type="pct"/>
            <w:tcBorders>
              <w:top w:val="nil"/>
              <w:left w:val="single" w:sz="12" w:space="0" w:color="auto"/>
              <w:bottom w:val="single" w:sz="12" w:space="0" w:color="auto"/>
              <w:right w:val="single" w:sz="12" w:space="0" w:color="auto"/>
            </w:tcBorders>
            <w:shd w:val="clear" w:color="auto" w:fill="auto"/>
            <w:vAlign w:val="center"/>
            <w:hideMark/>
          </w:tcPr>
          <w:p w14:paraId="72A76169" w14:textId="77777777" w:rsidR="00A258EC" w:rsidRDefault="00A258EC" w:rsidP="00A258EC">
            <w:pPr>
              <w:rPr>
                <w:b/>
                <w:bCs/>
                <w:color w:val="000000"/>
                <w:sz w:val="22"/>
                <w:szCs w:val="22"/>
              </w:rPr>
            </w:pPr>
            <w:r>
              <w:rPr>
                <w:b/>
                <w:bCs/>
                <w:color w:val="000000"/>
                <w:sz w:val="22"/>
                <w:szCs w:val="22"/>
              </w:rPr>
              <w:t>Σύνολο</w:t>
            </w:r>
          </w:p>
        </w:tc>
        <w:tc>
          <w:tcPr>
            <w:tcW w:w="891" w:type="pct"/>
            <w:tcBorders>
              <w:top w:val="single" w:sz="2" w:space="0" w:color="auto"/>
              <w:left w:val="nil"/>
              <w:bottom w:val="double" w:sz="6" w:space="0" w:color="auto"/>
              <w:right w:val="single" w:sz="12" w:space="0" w:color="auto"/>
            </w:tcBorders>
            <w:shd w:val="clear" w:color="auto" w:fill="auto"/>
            <w:vAlign w:val="center"/>
            <w:hideMark/>
          </w:tcPr>
          <w:p w14:paraId="1A50EF9C" w14:textId="77777777" w:rsidR="00A258EC" w:rsidRPr="00BA57FE" w:rsidRDefault="00BA57FE" w:rsidP="00A258EC">
            <w:pPr>
              <w:jc w:val="right"/>
              <w:rPr>
                <w:b/>
                <w:bCs/>
                <w:color w:val="000000"/>
                <w:sz w:val="22"/>
                <w:szCs w:val="22"/>
                <w:lang w:val="en-US"/>
              </w:rPr>
            </w:pPr>
            <w:r>
              <w:rPr>
                <w:b/>
                <w:bCs/>
                <w:color w:val="000000"/>
                <w:sz w:val="22"/>
                <w:szCs w:val="22"/>
                <w:lang w:val="en-US"/>
              </w:rPr>
              <w:t>607,56</w:t>
            </w:r>
          </w:p>
        </w:tc>
        <w:tc>
          <w:tcPr>
            <w:tcW w:w="891" w:type="pct"/>
            <w:tcBorders>
              <w:top w:val="single" w:sz="2" w:space="0" w:color="auto"/>
              <w:left w:val="nil"/>
              <w:bottom w:val="double" w:sz="6" w:space="0" w:color="auto"/>
              <w:right w:val="single" w:sz="12" w:space="0" w:color="auto"/>
            </w:tcBorders>
            <w:shd w:val="clear" w:color="auto" w:fill="auto"/>
            <w:vAlign w:val="center"/>
            <w:hideMark/>
          </w:tcPr>
          <w:p w14:paraId="2E04EDE5" w14:textId="77777777" w:rsidR="00A258EC" w:rsidRDefault="00112117" w:rsidP="00A258EC">
            <w:pPr>
              <w:jc w:val="right"/>
              <w:rPr>
                <w:b/>
                <w:bCs/>
                <w:color w:val="000000"/>
                <w:sz w:val="22"/>
                <w:szCs w:val="22"/>
              </w:rPr>
            </w:pPr>
            <w:r>
              <w:rPr>
                <w:b/>
                <w:bCs/>
                <w:color w:val="000000"/>
                <w:sz w:val="22"/>
                <w:szCs w:val="22"/>
              </w:rPr>
              <w:fldChar w:fldCharType="begin"/>
            </w:r>
            <w:r>
              <w:rPr>
                <w:b/>
                <w:bCs/>
                <w:color w:val="000000"/>
                <w:sz w:val="22"/>
                <w:szCs w:val="22"/>
              </w:rPr>
              <w:instrText xml:space="preserve"> =SUM(ABOVE) </w:instrText>
            </w:r>
            <w:r>
              <w:rPr>
                <w:b/>
                <w:bCs/>
                <w:color w:val="000000"/>
                <w:sz w:val="22"/>
                <w:szCs w:val="22"/>
              </w:rPr>
              <w:fldChar w:fldCharType="separate"/>
            </w:r>
            <w:r>
              <w:rPr>
                <w:b/>
                <w:bCs/>
                <w:noProof/>
                <w:color w:val="000000"/>
                <w:sz w:val="22"/>
                <w:szCs w:val="22"/>
              </w:rPr>
              <w:t>157,33</w:t>
            </w:r>
            <w:r>
              <w:rPr>
                <w:b/>
                <w:bCs/>
                <w:color w:val="000000"/>
                <w:sz w:val="22"/>
                <w:szCs w:val="22"/>
              </w:rPr>
              <w:fldChar w:fldCharType="end"/>
            </w:r>
          </w:p>
        </w:tc>
      </w:tr>
    </w:tbl>
    <w:p w14:paraId="0E7051DF" w14:textId="77777777" w:rsidR="00F86817" w:rsidRPr="00A131AE" w:rsidRDefault="00F86817" w:rsidP="00523C3C">
      <w:pPr>
        <w:pStyle w:val="a8"/>
        <w:rPr>
          <w:highlight w:val="yellow"/>
        </w:rPr>
      </w:pPr>
    </w:p>
    <w:p w14:paraId="0601A198" w14:textId="77777777" w:rsidR="000A192C" w:rsidRPr="00A760D1" w:rsidRDefault="000A192C" w:rsidP="000A192C">
      <w:pPr>
        <w:pStyle w:val="1"/>
        <w:jc w:val="left"/>
      </w:pPr>
      <w:bookmarkStart w:id="42" w:name="_Toc488058544"/>
      <w:bookmarkStart w:id="43" w:name="_Toc15546005"/>
      <w:r w:rsidRPr="00A760D1">
        <w:t>12. Τόκοι που ενσωματώθηκαν στην αξία περιουσιακών στοιχείων στην περίοδο</w:t>
      </w:r>
      <w:bookmarkEnd w:id="42"/>
      <w:bookmarkEnd w:id="43"/>
    </w:p>
    <w:p w14:paraId="07A105EF" w14:textId="77777777" w:rsidR="000A192C" w:rsidRPr="00A760D1" w:rsidRDefault="000A192C" w:rsidP="000A192C">
      <w:pPr>
        <w:rPr>
          <w:sz w:val="16"/>
          <w:szCs w:val="16"/>
          <w:lang w:eastAsia="en-US"/>
        </w:rPr>
      </w:pPr>
    </w:p>
    <w:p w14:paraId="476D60C4" w14:textId="77777777" w:rsidR="000A192C" w:rsidRDefault="000A192C" w:rsidP="000A192C">
      <w:pPr>
        <w:shd w:val="clear" w:color="auto" w:fill="FFFFFF"/>
        <w:spacing w:after="200" w:line="276" w:lineRule="auto"/>
        <w:ind w:left="5" w:right="14" w:firstLine="562"/>
        <w:jc w:val="both"/>
        <w:rPr>
          <w:sz w:val="22"/>
          <w:szCs w:val="22"/>
        </w:rPr>
      </w:pPr>
      <w:r w:rsidRPr="00A760D1">
        <w:rPr>
          <w:sz w:val="22"/>
          <w:szCs w:val="22"/>
        </w:rPr>
        <w:t>Δεν έχουν ενσωματωθεί τόκοι στην αξία περιουσιακών στοιχείων.</w:t>
      </w:r>
    </w:p>
    <w:p w14:paraId="4A2608DB" w14:textId="77777777" w:rsidR="003506D2" w:rsidRPr="00A760D1" w:rsidRDefault="003506D2" w:rsidP="000A192C">
      <w:pPr>
        <w:shd w:val="clear" w:color="auto" w:fill="FFFFFF"/>
        <w:spacing w:after="200" w:line="276" w:lineRule="auto"/>
        <w:ind w:left="5" w:right="14" w:firstLine="562"/>
        <w:jc w:val="both"/>
        <w:rPr>
          <w:sz w:val="22"/>
          <w:szCs w:val="22"/>
        </w:rPr>
      </w:pPr>
    </w:p>
    <w:p w14:paraId="302EA89B" w14:textId="77777777" w:rsidR="00874993" w:rsidRPr="003B0ED9" w:rsidRDefault="00FC44B4" w:rsidP="006949A7">
      <w:pPr>
        <w:pStyle w:val="1"/>
        <w:jc w:val="left"/>
      </w:pPr>
      <w:bookmarkStart w:id="44" w:name="_Toc488058545"/>
      <w:bookmarkStart w:id="45" w:name="_Toc15546006"/>
      <w:r w:rsidRPr="003B0ED9">
        <w:t>1</w:t>
      </w:r>
      <w:r w:rsidR="00E24828" w:rsidRPr="003B0ED9">
        <w:t>3</w:t>
      </w:r>
      <w:r w:rsidR="00FF2F42" w:rsidRPr="003B0ED9">
        <w:t>. Π</w:t>
      </w:r>
      <w:r w:rsidR="00874993" w:rsidRPr="003B0ED9">
        <w:t>ροτεινόμενη διάθεση κερδών</w:t>
      </w:r>
      <w:bookmarkEnd w:id="44"/>
      <w:bookmarkEnd w:id="45"/>
    </w:p>
    <w:p w14:paraId="0906FD22" w14:textId="77777777" w:rsidR="004715E9" w:rsidRPr="003B0ED9" w:rsidRDefault="004715E9" w:rsidP="00B82D0D">
      <w:pPr>
        <w:pStyle w:val="Default"/>
        <w:spacing w:after="200" w:line="276" w:lineRule="auto"/>
        <w:ind w:firstLine="720"/>
        <w:rPr>
          <w:rFonts w:ascii="Times New Roman" w:hAnsi="Times New Roman" w:cs="Times New Roman"/>
          <w:bCs/>
          <w:iCs/>
          <w:sz w:val="4"/>
          <w:szCs w:val="22"/>
        </w:rPr>
      </w:pPr>
    </w:p>
    <w:p w14:paraId="6C29A504" w14:textId="77777777" w:rsidR="00E24828" w:rsidRDefault="003B0ED9" w:rsidP="00BE214B">
      <w:pPr>
        <w:pStyle w:val="Default"/>
        <w:spacing w:after="200" w:line="276" w:lineRule="auto"/>
        <w:ind w:firstLine="720"/>
        <w:jc w:val="both"/>
        <w:rPr>
          <w:rFonts w:ascii="Times New Roman" w:hAnsi="Times New Roman" w:cs="Times New Roman"/>
          <w:bCs/>
          <w:iCs/>
          <w:sz w:val="22"/>
          <w:szCs w:val="22"/>
        </w:rPr>
      </w:pPr>
      <w:r w:rsidRPr="003B0ED9">
        <w:rPr>
          <w:rFonts w:ascii="Times New Roman" w:hAnsi="Times New Roman" w:cs="Times New Roman"/>
          <w:bCs/>
          <w:iCs/>
          <w:sz w:val="22"/>
          <w:szCs w:val="22"/>
        </w:rPr>
        <w:t>Το αποτέλεσμα της χρήσης ήταν ζημιογόνο</w:t>
      </w:r>
      <w:r w:rsidR="00BE214B" w:rsidRPr="003B0ED9">
        <w:rPr>
          <w:rFonts w:ascii="Times New Roman" w:hAnsi="Times New Roman" w:cs="Times New Roman"/>
          <w:bCs/>
          <w:iCs/>
          <w:sz w:val="22"/>
          <w:szCs w:val="22"/>
        </w:rPr>
        <w:t>.</w:t>
      </w:r>
      <w:r w:rsidR="00E24828" w:rsidRPr="003B0ED9">
        <w:rPr>
          <w:rFonts w:ascii="Times New Roman" w:hAnsi="Times New Roman" w:cs="Times New Roman"/>
          <w:bCs/>
          <w:iCs/>
          <w:sz w:val="22"/>
          <w:szCs w:val="22"/>
        </w:rPr>
        <w:t xml:space="preserve"> </w:t>
      </w:r>
    </w:p>
    <w:p w14:paraId="14AC75FA" w14:textId="77777777" w:rsidR="003506D2" w:rsidRPr="003B0ED9" w:rsidRDefault="003506D2" w:rsidP="00BE214B">
      <w:pPr>
        <w:pStyle w:val="Default"/>
        <w:spacing w:after="200" w:line="276" w:lineRule="auto"/>
        <w:ind w:firstLine="720"/>
        <w:jc w:val="both"/>
        <w:rPr>
          <w:rFonts w:ascii="Times New Roman" w:hAnsi="Times New Roman" w:cs="Times New Roman"/>
          <w:bCs/>
          <w:iCs/>
          <w:sz w:val="22"/>
          <w:szCs w:val="22"/>
        </w:rPr>
      </w:pPr>
    </w:p>
    <w:p w14:paraId="3736C479" w14:textId="77777777" w:rsidR="00874993" w:rsidRPr="00A760D1" w:rsidRDefault="00FF2F42" w:rsidP="006949A7">
      <w:pPr>
        <w:pStyle w:val="1"/>
        <w:jc w:val="left"/>
      </w:pPr>
      <w:bookmarkStart w:id="46" w:name="_Toc488058546"/>
      <w:bookmarkStart w:id="47" w:name="_Toc15546007"/>
      <w:r w:rsidRPr="00A760D1">
        <w:t>﻿1</w:t>
      </w:r>
      <w:r w:rsidR="00E24828" w:rsidRPr="00A760D1">
        <w:t>4</w:t>
      </w:r>
      <w:r w:rsidRPr="00A760D1">
        <w:t>. Κ</w:t>
      </w:r>
      <w:r w:rsidR="00874993" w:rsidRPr="00A760D1">
        <w:t>αταβληθέντα μερίσματα στην περίοδο</w:t>
      </w:r>
      <w:bookmarkEnd w:id="46"/>
      <w:bookmarkEnd w:id="47"/>
    </w:p>
    <w:p w14:paraId="4B1C28D4" w14:textId="77777777" w:rsidR="00523C3C" w:rsidRPr="00A760D1" w:rsidRDefault="00523C3C" w:rsidP="00523C3C">
      <w:pPr>
        <w:rPr>
          <w:sz w:val="22"/>
          <w:szCs w:val="22"/>
          <w:lang w:eastAsia="en-US"/>
        </w:rPr>
      </w:pPr>
    </w:p>
    <w:p w14:paraId="125722D0" w14:textId="77777777" w:rsidR="00E24828" w:rsidRDefault="00D72D1D" w:rsidP="00B82D0D">
      <w:pPr>
        <w:shd w:val="clear" w:color="auto" w:fill="FFFFFF"/>
        <w:spacing w:after="200" w:line="276" w:lineRule="auto"/>
        <w:ind w:right="14" w:firstLine="567"/>
        <w:rPr>
          <w:sz w:val="22"/>
          <w:szCs w:val="22"/>
        </w:rPr>
      </w:pPr>
      <w:r w:rsidRPr="00A760D1">
        <w:rPr>
          <w:sz w:val="22"/>
          <w:szCs w:val="22"/>
        </w:rPr>
        <w:t>Στην κλειόμενη περίοδο δεν καταβλήθηκαν μερίσματα.</w:t>
      </w:r>
    </w:p>
    <w:p w14:paraId="33DF3837" w14:textId="77777777" w:rsidR="003506D2" w:rsidRPr="00A760D1" w:rsidRDefault="003506D2" w:rsidP="00B82D0D">
      <w:pPr>
        <w:shd w:val="clear" w:color="auto" w:fill="FFFFFF"/>
        <w:spacing w:after="200" w:line="276" w:lineRule="auto"/>
        <w:ind w:right="14" w:firstLine="567"/>
        <w:rPr>
          <w:sz w:val="22"/>
          <w:szCs w:val="22"/>
        </w:rPr>
      </w:pPr>
    </w:p>
    <w:p w14:paraId="157C67BB" w14:textId="77777777" w:rsidR="00874993" w:rsidRPr="003B0ED9" w:rsidRDefault="00FC44B4" w:rsidP="006949A7">
      <w:pPr>
        <w:pStyle w:val="1"/>
        <w:jc w:val="left"/>
      </w:pPr>
      <w:bookmarkStart w:id="48" w:name="_Toc488058547"/>
      <w:bookmarkStart w:id="49" w:name="_Toc15546008"/>
      <w:r w:rsidRPr="003B0ED9">
        <w:t>1</w:t>
      </w:r>
      <w:r w:rsidR="00E24828" w:rsidRPr="003B0ED9">
        <w:t>5</w:t>
      </w:r>
      <w:r w:rsidR="00FF2F42" w:rsidRPr="003B0ED9">
        <w:t>. Λ</w:t>
      </w:r>
      <w:r w:rsidR="00874993" w:rsidRPr="003B0ED9">
        <w:t>ογιστικός χειρισμός ζημιών περιόδου</w:t>
      </w:r>
      <w:bookmarkEnd w:id="48"/>
      <w:bookmarkEnd w:id="49"/>
    </w:p>
    <w:p w14:paraId="60A42AED" w14:textId="77777777" w:rsidR="00523C3C" w:rsidRPr="003B0ED9" w:rsidRDefault="00523C3C" w:rsidP="00523C3C">
      <w:pPr>
        <w:rPr>
          <w:sz w:val="16"/>
          <w:szCs w:val="16"/>
          <w:lang w:val="x-none" w:eastAsia="en-US"/>
        </w:rPr>
      </w:pPr>
    </w:p>
    <w:p w14:paraId="150FB691" w14:textId="77777777" w:rsidR="00FF2F42" w:rsidRDefault="003B0ED9" w:rsidP="00B82D0D">
      <w:pPr>
        <w:shd w:val="clear" w:color="auto" w:fill="FFFFFF"/>
        <w:spacing w:after="200" w:line="276" w:lineRule="auto"/>
        <w:ind w:left="5" w:right="14" w:firstLine="562"/>
        <w:jc w:val="both"/>
        <w:rPr>
          <w:sz w:val="22"/>
          <w:szCs w:val="22"/>
        </w:rPr>
      </w:pPr>
      <w:r w:rsidRPr="003B0ED9">
        <w:rPr>
          <w:sz w:val="22"/>
          <w:szCs w:val="22"/>
        </w:rPr>
        <w:lastRenderedPageBreak/>
        <w:t xml:space="preserve">Το ζημιογόνο αποτέλεσμα της χρήσης </w:t>
      </w:r>
      <w:r>
        <w:rPr>
          <w:sz w:val="22"/>
          <w:szCs w:val="22"/>
        </w:rPr>
        <w:t>αύξησε</w:t>
      </w:r>
      <w:r w:rsidRPr="003B0ED9">
        <w:rPr>
          <w:sz w:val="22"/>
          <w:szCs w:val="22"/>
        </w:rPr>
        <w:t xml:space="preserve"> το υπόλοιπο ζημιών προηγουμένων χρήσεων</w:t>
      </w:r>
      <w:r w:rsidR="00EB2225" w:rsidRPr="003B0ED9">
        <w:rPr>
          <w:sz w:val="22"/>
          <w:szCs w:val="22"/>
        </w:rPr>
        <w:t>.</w:t>
      </w:r>
    </w:p>
    <w:p w14:paraId="16DBA4CE" w14:textId="77777777" w:rsidR="003506D2" w:rsidRPr="003B0ED9" w:rsidRDefault="003506D2" w:rsidP="00B82D0D">
      <w:pPr>
        <w:shd w:val="clear" w:color="auto" w:fill="FFFFFF"/>
        <w:spacing w:after="200" w:line="276" w:lineRule="auto"/>
        <w:ind w:left="5" w:right="14" w:firstLine="562"/>
        <w:jc w:val="both"/>
        <w:rPr>
          <w:sz w:val="22"/>
          <w:szCs w:val="22"/>
        </w:rPr>
      </w:pPr>
    </w:p>
    <w:p w14:paraId="034E3B4C" w14:textId="77777777" w:rsidR="00105FEE" w:rsidRPr="00A760D1" w:rsidRDefault="00105FEE" w:rsidP="00105FEE">
      <w:pPr>
        <w:pStyle w:val="1"/>
        <w:spacing w:line="228" w:lineRule="auto"/>
        <w:jc w:val="left"/>
        <w:rPr>
          <w:lang w:val="el-GR"/>
        </w:rPr>
      </w:pPr>
      <w:bookmarkStart w:id="50" w:name="_Toc488058548"/>
      <w:bookmarkStart w:id="51" w:name="_Toc15546009"/>
      <w:r w:rsidRPr="00A760D1">
        <w:t>1</w:t>
      </w:r>
      <w:r w:rsidRPr="00A760D1">
        <w:rPr>
          <w:lang w:val="el-GR"/>
        </w:rPr>
        <w:t>6</w:t>
      </w:r>
      <w:r w:rsidRPr="00A760D1">
        <w:t>.</w:t>
      </w:r>
      <w:r w:rsidRPr="00A760D1">
        <w:rPr>
          <w:lang w:val="el-GR"/>
        </w:rPr>
        <w:t xml:space="preserve"> Αναβαλλόμενοι φόροι</w:t>
      </w:r>
      <w:bookmarkEnd w:id="50"/>
      <w:bookmarkEnd w:id="51"/>
    </w:p>
    <w:p w14:paraId="6B457885" w14:textId="77777777" w:rsidR="00105FEE" w:rsidRPr="00A760D1" w:rsidRDefault="00105FEE" w:rsidP="00105FEE">
      <w:pPr>
        <w:spacing w:line="228" w:lineRule="auto"/>
        <w:rPr>
          <w:sz w:val="16"/>
          <w:szCs w:val="16"/>
          <w:lang w:val="x-none" w:eastAsia="en-US"/>
        </w:rPr>
      </w:pPr>
    </w:p>
    <w:p w14:paraId="632D8313" w14:textId="77777777" w:rsidR="00105FEE" w:rsidRPr="00A760D1" w:rsidRDefault="00105FEE" w:rsidP="00105FEE">
      <w:pPr>
        <w:shd w:val="clear" w:color="auto" w:fill="FFFFFF"/>
        <w:spacing w:after="200" w:line="276" w:lineRule="auto"/>
        <w:ind w:left="5" w:right="14" w:firstLine="562"/>
        <w:jc w:val="both"/>
        <w:rPr>
          <w:sz w:val="22"/>
          <w:szCs w:val="22"/>
        </w:rPr>
      </w:pPr>
      <w:r w:rsidRPr="00A760D1">
        <w:rPr>
          <w:sz w:val="22"/>
          <w:szCs w:val="22"/>
        </w:rPr>
        <w:t>Η εταιρεία δεν έχει επιλέξει την καταχώρηση αναβαλλόμενων φόρων.</w:t>
      </w:r>
    </w:p>
    <w:p w14:paraId="640A4AF0" w14:textId="77777777" w:rsidR="00874993" w:rsidRPr="00711F5F" w:rsidRDefault="00606B3E" w:rsidP="003554D4">
      <w:pPr>
        <w:pStyle w:val="1"/>
        <w:spacing w:line="228" w:lineRule="auto"/>
        <w:jc w:val="left"/>
      </w:pPr>
      <w:bookmarkStart w:id="52" w:name="_Toc488058549"/>
      <w:bookmarkStart w:id="53" w:name="_Toc15546010"/>
      <w:r w:rsidRPr="00711F5F">
        <w:t>1</w:t>
      </w:r>
      <w:r w:rsidR="00E24828" w:rsidRPr="00711F5F">
        <w:t>7</w:t>
      </w:r>
      <w:r w:rsidR="00FF2F42" w:rsidRPr="00711F5F">
        <w:t>. Κ</w:t>
      </w:r>
      <w:r w:rsidR="00874993" w:rsidRPr="00711F5F">
        <w:t>ατηγορίες και αμοιβές προσωπικού</w:t>
      </w:r>
      <w:bookmarkEnd w:id="52"/>
      <w:bookmarkEnd w:id="53"/>
    </w:p>
    <w:p w14:paraId="79E9CD9F" w14:textId="77777777" w:rsidR="00523C3C" w:rsidRPr="00711F5F" w:rsidRDefault="00523C3C" w:rsidP="003554D4">
      <w:pPr>
        <w:spacing w:line="228" w:lineRule="auto"/>
        <w:rPr>
          <w:sz w:val="16"/>
          <w:szCs w:val="16"/>
          <w:lang w:val="x-none" w:eastAsia="en-US"/>
        </w:rPr>
      </w:pPr>
    </w:p>
    <w:p w14:paraId="1982574F" w14:textId="77777777" w:rsidR="00FF2F42" w:rsidRDefault="00FF2F42" w:rsidP="003554D4">
      <w:pPr>
        <w:shd w:val="clear" w:color="auto" w:fill="FFFFFF"/>
        <w:spacing w:after="200" w:line="228" w:lineRule="auto"/>
        <w:ind w:left="5" w:right="14" w:firstLine="562"/>
        <w:jc w:val="both"/>
        <w:rPr>
          <w:sz w:val="22"/>
          <w:szCs w:val="22"/>
        </w:rPr>
      </w:pPr>
      <w:r w:rsidRPr="00711F5F">
        <w:rPr>
          <w:sz w:val="22"/>
          <w:szCs w:val="22"/>
        </w:rPr>
        <w:t xml:space="preserve">Ο μέσος όρος των απασχολούμενων </w:t>
      </w:r>
      <w:r w:rsidR="00FD663D" w:rsidRPr="00711F5F">
        <w:rPr>
          <w:sz w:val="22"/>
          <w:szCs w:val="22"/>
        </w:rPr>
        <w:t xml:space="preserve">ανά κατηγορία </w:t>
      </w:r>
      <w:r w:rsidR="005F0E61" w:rsidRPr="00711F5F">
        <w:rPr>
          <w:sz w:val="22"/>
          <w:szCs w:val="22"/>
        </w:rPr>
        <w:t>ανέρχεται σε</w:t>
      </w:r>
      <w:r w:rsidR="00FD663D" w:rsidRPr="00711F5F">
        <w:rPr>
          <w:sz w:val="22"/>
          <w:szCs w:val="22"/>
        </w:rPr>
        <w:t xml:space="preserve"> άτομα</w:t>
      </w:r>
      <w:r w:rsidRPr="00711F5F">
        <w:rPr>
          <w:sz w:val="22"/>
          <w:szCs w:val="22"/>
        </w:rPr>
        <w:t>:</w:t>
      </w:r>
    </w:p>
    <w:tbl>
      <w:tblPr>
        <w:tblW w:w="5000" w:type="pct"/>
        <w:tblLook w:val="04A0" w:firstRow="1" w:lastRow="0" w:firstColumn="1" w:lastColumn="0" w:noHBand="0" w:noVBand="1"/>
      </w:tblPr>
      <w:tblGrid>
        <w:gridCol w:w="4868"/>
        <w:gridCol w:w="2569"/>
        <w:gridCol w:w="2285"/>
      </w:tblGrid>
      <w:tr w:rsidR="00D55EFC" w:rsidRPr="00711F5F" w14:paraId="390CEE7A" w14:textId="77777777" w:rsidTr="00711F5F">
        <w:trPr>
          <w:trHeight w:val="315"/>
        </w:trPr>
        <w:tc>
          <w:tcPr>
            <w:tcW w:w="2504" w:type="pct"/>
            <w:tcBorders>
              <w:top w:val="single" w:sz="12" w:space="0" w:color="auto"/>
              <w:left w:val="single" w:sz="12" w:space="0" w:color="auto"/>
              <w:bottom w:val="single" w:sz="12" w:space="0" w:color="auto"/>
              <w:right w:val="single" w:sz="12" w:space="0" w:color="auto"/>
            </w:tcBorders>
            <w:shd w:val="clear" w:color="auto" w:fill="auto"/>
            <w:vAlign w:val="center"/>
            <w:hideMark/>
          </w:tcPr>
          <w:p w14:paraId="385C1FA2" w14:textId="77777777" w:rsidR="00D55EFC" w:rsidRPr="00711F5F" w:rsidRDefault="00D55EFC">
            <w:pPr>
              <w:rPr>
                <w:b/>
                <w:bCs/>
                <w:color w:val="000000"/>
                <w:sz w:val="22"/>
                <w:szCs w:val="22"/>
              </w:rPr>
            </w:pPr>
            <w:r w:rsidRPr="00711F5F">
              <w:rPr>
                <w:b/>
                <w:bCs/>
                <w:color w:val="000000"/>
                <w:sz w:val="22"/>
                <w:szCs w:val="22"/>
              </w:rPr>
              <w:t> </w:t>
            </w:r>
          </w:p>
        </w:tc>
        <w:tc>
          <w:tcPr>
            <w:tcW w:w="1321" w:type="pct"/>
            <w:tcBorders>
              <w:top w:val="single" w:sz="12" w:space="0" w:color="auto"/>
              <w:left w:val="nil"/>
              <w:bottom w:val="single" w:sz="12" w:space="0" w:color="auto"/>
              <w:right w:val="single" w:sz="12" w:space="0" w:color="auto"/>
            </w:tcBorders>
            <w:shd w:val="clear" w:color="auto" w:fill="auto"/>
            <w:vAlign w:val="center"/>
            <w:hideMark/>
          </w:tcPr>
          <w:p w14:paraId="41364A97" w14:textId="77777777" w:rsidR="00D55EFC" w:rsidRPr="00711F5F" w:rsidRDefault="008B73D9">
            <w:pPr>
              <w:jc w:val="center"/>
              <w:rPr>
                <w:b/>
                <w:bCs/>
                <w:color w:val="000000"/>
                <w:sz w:val="22"/>
                <w:szCs w:val="22"/>
              </w:rPr>
            </w:pPr>
            <w:r w:rsidRPr="00711F5F">
              <w:rPr>
                <w:b/>
                <w:bCs/>
                <w:color w:val="000000"/>
                <w:sz w:val="22"/>
                <w:szCs w:val="22"/>
              </w:rPr>
              <w:t>31/12/2</w:t>
            </w:r>
            <w:r w:rsidR="00BA57FE">
              <w:rPr>
                <w:b/>
                <w:bCs/>
                <w:color w:val="000000"/>
                <w:sz w:val="22"/>
                <w:szCs w:val="22"/>
              </w:rPr>
              <w:t>020</w:t>
            </w:r>
          </w:p>
        </w:tc>
        <w:tc>
          <w:tcPr>
            <w:tcW w:w="1175" w:type="pct"/>
            <w:tcBorders>
              <w:top w:val="single" w:sz="12" w:space="0" w:color="auto"/>
              <w:left w:val="nil"/>
              <w:bottom w:val="single" w:sz="12" w:space="0" w:color="auto"/>
              <w:right w:val="single" w:sz="12" w:space="0" w:color="auto"/>
            </w:tcBorders>
            <w:shd w:val="clear" w:color="auto" w:fill="auto"/>
            <w:vAlign w:val="center"/>
            <w:hideMark/>
          </w:tcPr>
          <w:p w14:paraId="5AD85A4C" w14:textId="77777777" w:rsidR="00D55EFC" w:rsidRPr="00711F5F" w:rsidRDefault="008B73D9" w:rsidP="00711F5F">
            <w:pPr>
              <w:jc w:val="center"/>
              <w:rPr>
                <w:b/>
                <w:bCs/>
                <w:color w:val="000000"/>
                <w:sz w:val="22"/>
                <w:szCs w:val="22"/>
                <w:lang w:val="en-US"/>
              </w:rPr>
            </w:pPr>
            <w:r w:rsidRPr="00711F5F">
              <w:rPr>
                <w:b/>
                <w:bCs/>
                <w:color w:val="000000"/>
                <w:sz w:val="22"/>
                <w:szCs w:val="22"/>
              </w:rPr>
              <w:t>31/12/201</w:t>
            </w:r>
            <w:r w:rsidR="00BA57FE">
              <w:rPr>
                <w:b/>
                <w:bCs/>
                <w:color w:val="000000"/>
                <w:sz w:val="22"/>
                <w:szCs w:val="22"/>
                <w:lang w:val="en-US"/>
              </w:rPr>
              <w:t>9</w:t>
            </w:r>
          </w:p>
        </w:tc>
      </w:tr>
      <w:tr w:rsidR="00D55EFC" w:rsidRPr="00711F5F" w14:paraId="01F020DE" w14:textId="77777777" w:rsidTr="00711F5F">
        <w:trPr>
          <w:trHeight w:val="315"/>
        </w:trPr>
        <w:tc>
          <w:tcPr>
            <w:tcW w:w="2504" w:type="pct"/>
            <w:tcBorders>
              <w:top w:val="nil"/>
              <w:left w:val="single" w:sz="12" w:space="0" w:color="auto"/>
              <w:bottom w:val="nil"/>
              <w:right w:val="single" w:sz="12" w:space="0" w:color="auto"/>
            </w:tcBorders>
            <w:shd w:val="clear" w:color="auto" w:fill="auto"/>
            <w:vAlign w:val="center"/>
            <w:hideMark/>
          </w:tcPr>
          <w:p w14:paraId="40258221" w14:textId="77777777" w:rsidR="00D55EFC" w:rsidRPr="00711F5F" w:rsidRDefault="00D55EFC">
            <w:pPr>
              <w:rPr>
                <w:color w:val="000000"/>
                <w:sz w:val="22"/>
                <w:szCs w:val="22"/>
              </w:rPr>
            </w:pPr>
            <w:r w:rsidRPr="00711F5F">
              <w:rPr>
                <w:color w:val="000000"/>
                <w:sz w:val="22"/>
                <w:szCs w:val="22"/>
              </w:rPr>
              <w:t>Διοικητικό προσωπικό</w:t>
            </w:r>
          </w:p>
        </w:tc>
        <w:tc>
          <w:tcPr>
            <w:tcW w:w="1321" w:type="pct"/>
            <w:tcBorders>
              <w:top w:val="nil"/>
              <w:left w:val="nil"/>
              <w:bottom w:val="nil"/>
              <w:right w:val="single" w:sz="12" w:space="0" w:color="auto"/>
            </w:tcBorders>
            <w:shd w:val="clear" w:color="auto" w:fill="auto"/>
            <w:vAlign w:val="center"/>
            <w:hideMark/>
          </w:tcPr>
          <w:p w14:paraId="79FE1496" w14:textId="77777777" w:rsidR="00D55EFC" w:rsidRPr="00711F5F" w:rsidRDefault="00BA57FE" w:rsidP="00BA57FE">
            <w:pPr>
              <w:jc w:val="right"/>
              <w:rPr>
                <w:color w:val="000000"/>
                <w:sz w:val="22"/>
                <w:szCs w:val="22"/>
              </w:rPr>
            </w:pPr>
            <w:r>
              <w:rPr>
                <w:color w:val="000000"/>
                <w:sz w:val="22"/>
                <w:szCs w:val="22"/>
                <w:lang w:val="en-US"/>
              </w:rPr>
              <w:t>0</w:t>
            </w:r>
          </w:p>
        </w:tc>
        <w:tc>
          <w:tcPr>
            <w:tcW w:w="1175" w:type="pct"/>
            <w:tcBorders>
              <w:top w:val="nil"/>
              <w:left w:val="nil"/>
              <w:bottom w:val="nil"/>
              <w:right w:val="single" w:sz="12" w:space="0" w:color="auto"/>
            </w:tcBorders>
            <w:shd w:val="clear" w:color="auto" w:fill="auto"/>
            <w:vAlign w:val="center"/>
            <w:hideMark/>
          </w:tcPr>
          <w:p w14:paraId="2368AE36" w14:textId="77777777" w:rsidR="00D55EFC" w:rsidRPr="00711F5F" w:rsidRDefault="00BA57FE">
            <w:pPr>
              <w:jc w:val="right"/>
              <w:rPr>
                <w:color w:val="000000"/>
                <w:sz w:val="22"/>
                <w:szCs w:val="22"/>
              </w:rPr>
            </w:pPr>
            <w:r>
              <w:rPr>
                <w:color w:val="000000"/>
                <w:sz w:val="22"/>
                <w:szCs w:val="22"/>
              </w:rPr>
              <w:t>1</w:t>
            </w:r>
          </w:p>
        </w:tc>
      </w:tr>
      <w:tr w:rsidR="00D55EFC" w:rsidRPr="00711F5F" w14:paraId="328D081E" w14:textId="77777777" w:rsidTr="00711F5F">
        <w:trPr>
          <w:trHeight w:val="315"/>
        </w:trPr>
        <w:tc>
          <w:tcPr>
            <w:tcW w:w="2504" w:type="pct"/>
            <w:tcBorders>
              <w:top w:val="nil"/>
              <w:left w:val="single" w:sz="12" w:space="0" w:color="auto"/>
              <w:bottom w:val="nil"/>
              <w:right w:val="single" w:sz="12" w:space="0" w:color="auto"/>
            </w:tcBorders>
            <w:shd w:val="clear" w:color="auto" w:fill="auto"/>
            <w:vAlign w:val="center"/>
            <w:hideMark/>
          </w:tcPr>
          <w:p w14:paraId="7429908E" w14:textId="77777777" w:rsidR="00D55EFC" w:rsidRPr="00711F5F" w:rsidRDefault="00D55EFC">
            <w:pPr>
              <w:rPr>
                <w:color w:val="000000"/>
                <w:sz w:val="22"/>
                <w:szCs w:val="22"/>
              </w:rPr>
            </w:pPr>
            <w:r w:rsidRPr="00711F5F">
              <w:rPr>
                <w:color w:val="000000"/>
                <w:sz w:val="22"/>
                <w:szCs w:val="22"/>
              </w:rPr>
              <w:t>Εργατοτεχνικό προσωπικό</w:t>
            </w:r>
          </w:p>
        </w:tc>
        <w:tc>
          <w:tcPr>
            <w:tcW w:w="1321" w:type="pct"/>
            <w:tcBorders>
              <w:top w:val="nil"/>
              <w:left w:val="nil"/>
              <w:bottom w:val="single" w:sz="8" w:space="0" w:color="auto"/>
              <w:right w:val="single" w:sz="12" w:space="0" w:color="auto"/>
            </w:tcBorders>
            <w:shd w:val="clear" w:color="auto" w:fill="auto"/>
            <w:vAlign w:val="center"/>
            <w:hideMark/>
          </w:tcPr>
          <w:p w14:paraId="799B825C" w14:textId="77777777" w:rsidR="00D55EFC" w:rsidRPr="00711F5F" w:rsidRDefault="00D55EFC">
            <w:pPr>
              <w:jc w:val="right"/>
              <w:rPr>
                <w:color w:val="000000"/>
                <w:sz w:val="22"/>
                <w:szCs w:val="22"/>
              </w:rPr>
            </w:pPr>
            <w:r w:rsidRPr="00711F5F">
              <w:rPr>
                <w:color w:val="000000"/>
                <w:sz w:val="22"/>
                <w:szCs w:val="22"/>
              </w:rPr>
              <w:t>0</w:t>
            </w:r>
          </w:p>
        </w:tc>
        <w:tc>
          <w:tcPr>
            <w:tcW w:w="1175" w:type="pct"/>
            <w:tcBorders>
              <w:top w:val="nil"/>
              <w:left w:val="nil"/>
              <w:bottom w:val="single" w:sz="8" w:space="0" w:color="auto"/>
              <w:right w:val="single" w:sz="12" w:space="0" w:color="auto"/>
            </w:tcBorders>
            <w:shd w:val="clear" w:color="auto" w:fill="auto"/>
            <w:vAlign w:val="center"/>
            <w:hideMark/>
          </w:tcPr>
          <w:p w14:paraId="5DE4EE0B" w14:textId="77777777" w:rsidR="00D55EFC" w:rsidRPr="00711F5F" w:rsidRDefault="00D55EFC">
            <w:pPr>
              <w:jc w:val="right"/>
              <w:rPr>
                <w:color w:val="000000"/>
                <w:sz w:val="22"/>
                <w:szCs w:val="22"/>
              </w:rPr>
            </w:pPr>
            <w:r w:rsidRPr="00711F5F">
              <w:rPr>
                <w:color w:val="000000"/>
                <w:sz w:val="22"/>
                <w:szCs w:val="22"/>
              </w:rPr>
              <w:t>0</w:t>
            </w:r>
          </w:p>
        </w:tc>
      </w:tr>
      <w:tr w:rsidR="00D55EFC" w:rsidRPr="00A131AE" w14:paraId="235F6272" w14:textId="77777777" w:rsidTr="00711F5F">
        <w:trPr>
          <w:trHeight w:val="300"/>
        </w:trPr>
        <w:tc>
          <w:tcPr>
            <w:tcW w:w="2504" w:type="pct"/>
            <w:tcBorders>
              <w:top w:val="nil"/>
              <w:left w:val="single" w:sz="12" w:space="0" w:color="auto"/>
              <w:bottom w:val="single" w:sz="12" w:space="0" w:color="auto"/>
              <w:right w:val="single" w:sz="12" w:space="0" w:color="auto"/>
            </w:tcBorders>
            <w:shd w:val="clear" w:color="auto" w:fill="auto"/>
            <w:vAlign w:val="center"/>
            <w:hideMark/>
          </w:tcPr>
          <w:p w14:paraId="677D44DB" w14:textId="77777777" w:rsidR="00D55EFC" w:rsidRPr="00711F5F" w:rsidRDefault="00D55EFC">
            <w:pPr>
              <w:rPr>
                <w:b/>
                <w:bCs/>
                <w:color w:val="000000"/>
                <w:sz w:val="22"/>
                <w:szCs w:val="22"/>
              </w:rPr>
            </w:pPr>
            <w:r w:rsidRPr="00711F5F">
              <w:rPr>
                <w:b/>
                <w:bCs/>
                <w:color w:val="000000"/>
                <w:sz w:val="22"/>
                <w:szCs w:val="22"/>
              </w:rPr>
              <w:t>Σύνολο</w:t>
            </w:r>
          </w:p>
        </w:tc>
        <w:tc>
          <w:tcPr>
            <w:tcW w:w="1321" w:type="pct"/>
            <w:tcBorders>
              <w:top w:val="nil"/>
              <w:left w:val="nil"/>
              <w:bottom w:val="double" w:sz="6" w:space="0" w:color="auto"/>
              <w:right w:val="single" w:sz="12" w:space="0" w:color="auto"/>
            </w:tcBorders>
            <w:shd w:val="clear" w:color="auto" w:fill="auto"/>
            <w:vAlign w:val="center"/>
            <w:hideMark/>
          </w:tcPr>
          <w:p w14:paraId="4BC77D38" w14:textId="77777777" w:rsidR="00D55EFC" w:rsidRPr="00711F5F" w:rsidRDefault="00BA57FE">
            <w:pPr>
              <w:jc w:val="right"/>
              <w:rPr>
                <w:b/>
                <w:bCs/>
                <w:color w:val="000000"/>
                <w:sz w:val="22"/>
                <w:szCs w:val="22"/>
              </w:rPr>
            </w:pPr>
            <w:r>
              <w:rPr>
                <w:b/>
                <w:bCs/>
                <w:color w:val="000000"/>
                <w:sz w:val="22"/>
                <w:szCs w:val="22"/>
              </w:rPr>
              <w:t>0</w:t>
            </w:r>
          </w:p>
        </w:tc>
        <w:tc>
          <w:tcPr>
            <w:tcW w:w="1175" w:type="pct"/>
            <w:tcBorders>
              <w:top w:val="nil"/>
              <w:left w:val="nil"/>
              <w:bottom w:val="double" w:sz="6" w:space="0" w:color="auto"/>
              <w:right w:val="single" w:sz="12" w:space="0" w:color="auto"/>
            </w:tcBorders>
            <w:shd w:val="clear" w:color="auto" w:fill="auto"/>
            <w:vAlign w:val="center"/>
            <w:hideMark/>
          </w:tcPr>
          <w:p w14:paraId="3F1BAA41" w14:textId="77777777" w:rsidR="00D55EFC" w:rsidRPr="00711F5F" w:rsidRDefault="00BA57FE">
            <w:pPr>
              <w:jc w:val="right"/>
              <w:rPr>
                <w:b/>
                <w:bCs/>
                <w:color w:val="000000"/>
                <w:sz w:val="22"/>
                <w:szCs w:val="22"/>
              </w:rPr>
            </w:pPr>
            <w:r>
              <w:rPr>
                <w:b/>
                <w:bCs/>
                <w:color w:val="000000"/>
                <w:sz w:val="22"/>
                <w:szCs w:val="22"/>
              </w:rPr>
              <w:t>1</w:t>
            </w:r>
          </w:p>
        </w:tc>
      </w:tr>
    </w:tbl>
    <w:p w14:paraId="1D50794C" w14:textId="77777777" w:rsidR="0085693D" w:rsidRPr="00A131AE" w:rsidRDefault="0085693D" w:rsidP="003554D4">
      <w:pPr>
        <w:pStyle w:val="a8"/>
        <w:spacing w:line="228" w:lineRule="auto"/>
        <w:rPr>
          <w:highlight w:val="yellow"/>
        </w:rPr>
      </w:pPr>
    </w:p>
    <w:p w14:paraId="334A0FD5" w14:textId="77777777" w:rsidR="00FF2F42" w:rsidRPr="00A760D1" w:rsidRDefault="00FF2F42" w:rsidP="003554D4">
      <w:pPr>
        <w:shd w:val="clear" w:color="auto" w:fill="FFFFFF"/>
        <w:spacing w:after="200" w:line="228" w:lineRule="auto"/>
        <w:ind w:left="5" w:right="14" w:firstLine="562"/>
        <w:jc w:val="both"/>
        <w:rPr>
          <w:sz w:val="22"/>
          <w:szCs w:val="22"/>
        </w:rPr>
      </w:pPr>
      <w:r w:rsidRPr="00A760D1">
        <w:rPr>
          <w:sz w:val="22"/>
          <w:szCs w:val="22"/>
        </w:rPr>
        <w:t>Η εταιρεία σε σχέση με το απασχολούμενο προσωπικό επιβαρύνθηκε με τα εξής ποσά:</w:t>
      </w:r>
    </w:p>
    <w:tbl>
      <w:tblPr>
        <w:tblW w:w="5000" w:type="pct"/>
        <w:tblLook w:val="04A0" w:firstRow="1" w:lastRow="0" w:firstColumn="1" w:lastColumn="0" w:noHBand="0" w:noVBand="1"/>
      </w:tblPr>
      <w:tblGrid>
        <w:gridCol w:w="5456"/>
        <w:gridCol w:w="2090"/>
        <w:gridCol w:w="2176"/>
      </w:tblGrid>
      <w:tr w:rsidR="00A760D1" w14:paraId="33CF171C" w14:textId="77777777" w:rsidTr="00A760D1">
        <w:trPr>
          <w:trHeight w:val="315"/>
        </w:trPr>
        <w:tc>
          <w:tcPr>
            <w:tcW w:w="2806" w:type="pct"/>
            <w:tcBorders>
              <w:top w:val="single" w:sz="12" w:space="0" w:color="auto"/>
              <w:left w:val="single" w:sz="12" w:space="0" w:color="auto"/>
              <w:bottom w:val="single" w:sz="12" w:space="0" w:color="auto"/>
              <w:right w:val="single" w:sz="12" w:space="0" w:color="auto"/>
            </w:tcBorders>
            <w:shd w:val="clear" w:color="auto" w:fill="auto"/>
            <w:vAlign w:val="center"/>
            <w:hideMark/>
          </w:tcPr>
          <w:p w14:paraId="3B4E3333" w14:textId="77777777" w:rsidR="00A760D1" w:rsidRDefault="00A760D1">
            <w:pPr>
              <w:rPr>
                <w:b/>
                <w:bCs/>
                <w:color w:val="000000"/>
                <w:sz w:val="22"/>
                <w:szCs w:val="22"/>
              </w:rPr>
            </w:pPr>
            <w:r>
              <w:rPr>
                <w:b/>
                <w:bCs/>
                <w:color w:val="000000"/>
                <w:sz w:val="22"/>
                <w:szCs w:val="22"/>
              </w:rPr>
              <w:t> </w:t>
            </w:r>
          </w:p>
        </w:tc>
        <w:tc>
          <w:tcPr>
            <w:tcW w:w="1075" w:type="pct"/>
            <w:tcBorders>
              <w:top w:val="single" w:sz="12" w:space="0" w:color="auto"/>
              <w:left w:val="nil"/>
              <w:bottom w:val="single" w:sz="12" w:space="0" w:color="auto"/>
              <w:right w:val="single" w:sz="12" w:space="0" w:color="auto"/>
            </w:tcBorders>
            <w:shd w:val="clear" w:color="auto" w:fill="auto"/>
            <w:vAlign w:val="center"/>
            <w:hideMark/>
          </w:tcPr>
          <w:p w14:paraId="420EF6AE" w14:textId="77777777" w:rsidR="00A760D1" w:rsidRDefault="00BA57FE">
            <w:pPr>
              <w:jc w:val="center"/>
              <w:rPr>
                <w:b/>
                <w:bCs/>
                <w:color w:val="000000"/>
                <w:sz w:val="22"/>
                <w:szCs w:val="22"/>
              </w:rPr>
            </w:pPr>
            <w:r>
              <w:rPr>
                <w:b/>
                <w:bCs/>
                <w:color w:val="000000"/>
                <w:sz w:val="22"/>
                <w:szCs w:val="22"/>
              </w:rPr>
              <w:t>31/12/2020</w:t>
            </w:r>
          </w:p>
        </w:tc>
        <w:tc>
          <w:tcPr>
            <w:tcW w:w="1119" w:type="pct"/>
            <w:tcBorders>
              <w:top w:val="single" w:sz="12" w:space="0" w:color="auto"/>
              <w:left w:val="nil"/>
              <w:bottom w:val="single" w:sz="12" w:space="0" w:color="auto"/>
              <w:right w:val="single" w:sz="12" w:space="0" w:color="auto"/>
            </w:tcBorders>
            <w:shd w:val="clear" w:color="auto" w:fill="auto"/>
            <w:vAlign w:val="center"/>
            <w:hideMark/>
          </w:tcPr>
          <w:p w14:paraId="531A522B" w14:textId="77777777" w:rsidR="00A760D1" w:rsidRDefault="00AD64DF">
            <w:pPr>
              <w:jc w:val="center"/>
              <w:rPr>
                <w:b/>
                <w:bCs/>
                <w:color w:val="000000"/>
                <w:sz w:val="22"/>
                <w:szCs w:val="22"/>
              </w:rPr>
            </w:pPr>
            <w:r>
              <w:rPr>
                <w:b/>
                <w:bCs/>
                <w:color w:val="000000"/>
                <w:sz w:val="22"/>
                <w:szCs w:val="22"/>
              </w:rPr>
              <w:t>31/12/201</w:t>
            </w:r>
            <w:r w:rsidR="00BA57FE">
              <w:rPr>
                <w:b/>
                <w:bCs/>
                <w:color w:val="000000"/>
                <w:sz w:val="22"/>
                <w:szCs w:val="22"/>
              </w:rPr>
              <w:t>9</w:t>
            </w:r>
          </w:p>
        </w:tc>
      </w:tr>
      <w:tr w:rsidR="00AD64DF" w14:paraId="4999D027" w14:textId="77777777" w:rsidTr="00730C1F">
        <w:trPr>
          <w:trHeight w:val="315"/>
        </w:trPr>
        <w:tc>
          <w:tcPr>
            <w:tcW w:w="2806" w:type="pct"/>
            <w:tcBorders>
              <w:top w:val="nil"/>
              <w:left w:val="single" w:sz="12" w:space="0" w:color="auto"/>
              <w:bottom w:val="nil"/>
              <w:right w:val="single" w:sz="12" w:space="0" w:color="auto"/>
            </w:tcBorders>
            <w:shd w:val="clear" w:color="auto" w:fill="auto"/>
            <w:vAlign w:val="center"/>
            <w:hideMark/>
          </w:tcPr>
          <w:p w14:paraId="2AB65EB2" w14:textId="77777777" w:rsidR="00AD64DF" w:rsidRDefault="00AD64DF" w:rsidP="00AD64DF">
            <w:pPr>
              <w:rPr>
                <w:color w:val="000000"/>
                <w:sz w:val="22"/>
                <w:szCs w:val="22"/>
              </w:rPr>
            </w:pPr>
            <w:r>
              <w:rPr>
                <w:color w:val="000000"/>
                <w:sz w:val="22"/>
                <w:szCs w:val="22"/>
              </w:rPr>
              <w:t>Μισθοί και ημερομίσθια</w:t>
            </w:r>
          </w:p>
        </w:tc>
        <w:tc>
          <w:tcPr>
            <w:tcW w:w="1075" w:type="pct"/>
            <w:tcBorders>
              <w:top w:val="nil"/>
              <w:left w:val="nil"/>
              <w:bottom w:val="nil"/>
              <w:right w:val="single" w:sz="12" w:space="0" w:color="auto"/>
            </w:tcBorders>
            <w:shd w:val="clear" w:color="auto" w:fill="auto"/>
            <w:hideMark/>
          </w:tcPr>
          <w:p w14:paraId="315B9E1E" w14:textId="77777777" w:rsidR="00AD64DF" w:rsidRPr="00BA57FE" w:rsidRDefault="00BA57FE" w:rsidP="00AD64DF">
            <w:pPr>
              <w:jc w:val="right"/>
              <w:rPr>
                <w:lang w:val="en-US"/>
              </w:rPr>
            </w:pPr>
            <w:r>
              <w:rPr>
                <w:lang w:val="en-US"/>
              </w:rPr>
              <w:t>0,00</w:t>
            </w:r>
          </w:p>
        </w:tc>
        <w:tc>
          <w:tcPr>
            <w:tcW w:w="1119" w:type="pct"/>
            <w:tcBorders>
              <w:top w:val="nil"/>
              <w:left w:val="nil"/>
              <w:bottom w:val="nil"/>
              <w:right w:val="single" w:sz="12" w:space="0" w:color="auto"/>
            </w:tcBorders>
            <w:shd w:val="clear" w:color="auto" w:fill="auto"/>
            <w:vAlign w:val="center"/>
            <w:hideMark/>
          </w:tcPr>
          <w:p w14:paraId="22CDBB5E" w14:textId="77777777" w:rsidR="00AD64DF" w:rsidRDefault="00BA57FE" w:rsidP="00AD64DF">
            <w:pPr>
              <w:jc w:val="right"/>
              <w:rPr>
                <w:color w:val="000000"/>
                <w:sz w:val="22"/>
                <w:szCs w:val="22"/>
              </w:rPr>
            </w:pPr>
            <w:r w:rsidRPr="00BA57FE">
              <w:rPr>
                <w:color w:val="000000"/>
                <w:sz w:val="22"/>
                <w:szCs w:val="22"/>
              </w:rPr>
              <w:t>9.549,34</w:t>
            </w:r>
          </w:p>
        </w:tc>
      </w:tr>
      <w:tr w:rsidR="00AD64DF" w14:paraId="15649331" w14:textId="77777777" w:rsidTr="00730C1F">
        <w:trPr>
          <w:trHeight w:val="300"/>
        </w:trPr>
        <w:tc>
          <w:tcPr>
            <w:tcW w:w="2806" w:type="pct"/>
            <w:tcBorders>
              <w:top w:val="nil"/>
              <w:left w:val="single" w:sz="12" w:space="0" w:color="auto"/>
              <w:bottom w:val="nil"/>
              <w:right w:val="single" w:sz="12" w:space="0" w:color="auto"/>
            </w:tcBorders>
            <w:shd w:val="clear" w:color="auto" w:fill="auto"/>
            <w:vAlign w:val="center"/>
            <w:hideMark/>
          </w:tcPr>
          <w:p w14:paraId="2CD33B31" w14:textId="77777777" w:rsidR="00AD64DF" w:rsidRDefault="00AD64DF" w:rsidP="00AD64DF">
            <w:pPr>
              <w:rPr>
                <w:color w:val="000000"/>
                <w:sz w:val="22"/>
                <w:szCs w:val="22"/>
              </w:rPr>
            </w:pPr>
            <w:r>
              <w:rPr>
                <w:color w:val="000000"/>
                <w:sz w:val="22"/>
                <w:szCs w:val="22"/>
              </w:rPr>
              <w:t>Κοινωνικές επιβαρύνσεις</w:t>
            </w:r>
          </w:p>
        </w:tc>
        <w:tc>
          <w:tcPr>
            <w:tcW w:w="1075" w:type="pct"/>
            <w:tcBorders>
              <w:top w:val="nil"/>
              <w:left w:val="nil"/>
              <w:bottom w:val="nil"/>
              <w:right w:val="single" w:sz="12" w:space="0" w:color="auto"/>
            </w:tcBorders>
            <w:shd w:val="clear" w:color="auto" w:fill="auto"/>
            <w:hideMark/>
          </w:tcPr>
          <w:p w14:paraId="3E92842B" w14:textId="77777777" w:rsidR="00AD64DF" w:rsidRPr="00BA57FE" w:rsidRDefault="00BA57FE" w:rsidP="00AD64DF">
            <w:pPr>
              <w:jc w:val="right"/>
              <w:rPr>
                <w:lang w:val="en-US"/>
              </w:rPr>
            </w:pPr>
            <w:r>
              <w:rPr>
                <w:lang w:val="en-US"/>
              </w:rPr>
              <w:t>0,00</w:t>
            </w:r>
          </w:p>
        </w:tc>
        <w:tc>
          <w:tcPr>
            <w:tcW w:w="1119" w:type="pct"/>
            <w:tcBorders>
              <w:top w:val="nil"/>
              <w:left w:val="nil"/>
              <w:bottom w:val="nil"/>
              <w:right w:val="single" w:sz="12" w:space="0" w:color="auto"/>
            </w:tcBorders>
            <w:shd w:val="clear" w:color="auto" w:fill="auto"/>
            <w:vAlign w:val="center"/>
            <w:hideMark/>
          </w:tcPr>
          <w:p w14:paraId="15E53666" w14:textId="77777777" w:rsidR="00AD64DF" w:rsidRDefault="00BA57FE" w:rsidP="00AD64DF">
            <w:pPr>
              <w:jc w:val="right"/>
              <w:rPr>
                <w:color w:val="000000"/>
                <w:sz w:val="22"/>
                <w:szCs w:val="22"/>
              </w:rPr>
            </w:pPr>
            <w:r w:rsidRPr="00BA57FE">
              <w:rPr>
                <w:color w:val="000000"/>
                <w:sz w:val="22"/>
                <w:szCs w:val="22"/>
              </w:rPr>
              <w:t>1.707,44</w:t>
            </w:r>
          </w:p>
        </w:tc>
      </w:tr>
      <w:tr w:rsidR="00AD64DF" w14:paraId="5D10BD91" w14:textId="77777777" w:rsidTr="00A760D1">
        <w:trPr>
          <w:trHeight w:val="300"/>
        </w:trPr>
        <w:tc>
          <w:tcPr>
            <w:tcW w:w="2806" w:type="pct"/>
            <w:tcBorders>
              <w:top w:val="nil"/>
              <w:left w:val="single" w:sz="12" w:space="0" w:color="auto"/>
              <w:bottom w:val="single" w:sz="12" w:space="0" w:color="auto"/>
              <w:right w:val="single" w:sz="12" w:space="0" w:color="auto"/>
            </w:tcBorders>
            <w:shd w:val="clear" w:color="auto" w:fill="auto"/>
            <w:vAlign w:val="center"/>
            <w:hideMark/>
          </w:tcPr>
          <w:p w14:paraId="4E6F71C0" w14:textId="77777777" w:rsidR="00AD64DF" w:rsidRDefault="00AD64DF" w:rsidP="00AD64DF">
            <w:pPr>
              <w:rPr>
                <w:b/>
                <w:bCs/>
                <w:color w:val="000000"/>
                <w:sz w:val="22"/>
                <w:szCs w:val="22"/>
              </w:rPr>
            </w:pPr>
            <w:r>
              <w:rPr>
                <w:b/>
                <w:bCs/>
                <w:color w:val="000000"/>
                <w:sz w:val="22"/>
                <w:szCs w:val="22"/>
              </w:rPr>
              <w:t>Σύνολο</w:t>
            </w:r>
          </w:p>
        </w:tc>
        <w:tc>
          <w:tcPr>
            <w:tcW w:w="1075" w:type="pct"/>
            <w:tcBorders>
              <w:top w:val="single" w:sz="8" w:space="0" w:color="auto"/>
              <w:left w:val="nil"/>
              <w:bottom w:val="double" w:sz="6" w:space="0" w:color="auto"/>
              <w:right w:val="single" w:sz="12" w:space="0" w:color="auto"/>
            </w:tcBorders>
            <w:shd w:val="clear" w:color="auto" w:fill="auto"/>
            <w:vAlign w:val="center"/>
            <w:hideMark/>
          </w:tcPr>
          <w:p w14:paraId="246BC05F" w14:textId="77777777" w:rsidR="00AD64DF" w:rsidRPr="00BA57FE" w:rsidRDefault="00BA57FE" w:rsidP="00AD64DF">
            <w:pPr>
              <w:jc w:val="right"/>
              <w:rPr>
                <w:b/>
                <w:bCs/>
                <w:color w:val="000000"/>
                <w:sz w:val="22"/>
                <w:szCs w:val="22"/>
                <w:lang w:val="en-US"/>
              </w:rPr>
            </w:pPr>
            <w:r>
              <w:rPr>
                <w:b/>
                <w:bCs/>
                <w:color w:val="000000"/>
                <w:sz w:val="22"/>
                <w:szCs w:val="22"/>
                <w:lang w:val="en-US"/>
              </w:rPr>
              <w:t>0,00</w:t>
            </w:r>
          </w:p>
        </w:tc>
        <w:tc>
          <w:tcPr>
            <w:tcW w:w="1119" w:type="pct"/>
            <w:tcBorders>
              <w:top w:val="single" w:sz="8" w:space="0" w:color="auto"/>
              <w:left w:val="nil"/>
              <w:bottom w:val="double" w:sz="6" w:space="0" w:color="auto"/>
              <w:right w:val="single" w:sz="12" w:space="0" w:color="auto"/>
            </w:tcBorders>
            <w:shd w:val="clear" w:color="auto" w:fill="auto"/>
            <w:vAlign w:val="center"/>
            <w:hideMark/>
          </w:tcPr>
          <w:p w14:paraId="54BFCC62" w14:textId="77777777" w:rsidR="00AD64DF" w:rsidRDefault="00BA57FE" w:rsidP="00AD64DF">
            <w:pPr>
              <w:jc w:val="right"/>
              <w:rPr>
                <w:b/>
                <w:bCs/>
                <w:color w:val="000000"/>
                <w:sz w:val="22"/>
                <w:szCs w:val="22"/>
              </w:rPr>
            </w:pPr>
            <w:r w:rsidRPr="00BA57FE">
              <w:rPr>
                <w:b/>
                <w:bCs/>
                <w:color w:val="000000"/>
                <w:sz w:val="22"/>
                <w:szCs w:val="22"/>
              </w:rPr>
              <w:t>11.256,78</w:t>
            </w:r>
          </w:p>
        </w:tc>
      </w:tr>
    </w:tbl>
    <w:p w14:paraId="66454814" w14:textId="77777777" w:rsidR="00576ABC" w:rsidRPr="00A131AE" w:rsidRDefault="00576ABC" w:rsidP="003554D4">
      <w:pPr>
        <w:pStyle w:val="a8"/>
        <w:spacing w:line="228" w:lineRule="auto"/>
        <w:rPr>
          <w:highlight w:val="yellow"/>
        </w:rPr>
      </w:pPr>
    </w:p>
    <w:p w14:paraId="0AEB1065" w14:textId="77777777" w:rsidR="00874993" w:rsidRPr="00A760D1" w:rsidRDefault="00E24828" w:rsidP="003554D4">
      <w:pPr>
        <w:pStyle w:val="1"/>
        <w:spacing w:line="228" w:lineRule="auto"/>
        <w:jc w:val="left"/>
      </w:pPr>
      <w:bookmarkStart w:id="54" w:name="_Toc488058550"/>
      <w:bookmarkStart w:id="55" w:name="_Toc15546011"/>
      <w:r w:rsidRPr="00A760D1">
        <w:t>18</w:t>
      </w:r>
      <w:r w:rsidR="00FF2F42" w:rsidRPr="00A760D1">
        <w:t>. Α</w:t>
      </w:r>
      <w:r w:rsidR="00874993" w:rsidRPr="00A760D1">
        <w:t>νάλυση του κύκλου εργασιών ανά κατηγορίες δραστηριότητας και γεωγραφικές περιοχές</w:t>
      </w:r>
      <w:bookmarkEnd w:id="54"/>
      <w:bookmarkEnd w:id="55"/>
    </w:p>
    <w:p w14:paraId="76E0A018" w14:textId="77777777" w:rsidR="00523C3C" w:rsidRPr="00A760D1" w:rsidRDefault="00523C3C" w:rsidP="003554D4">
      <w:pPr>
        <w:spacing w:line="228" w:lineRule="auto"/>
        <w:rPr>
          <w:sz w:val="16"/>
          <w:szCs w:val="16"/>
          <w:lang w:val="x-none" w:eastAsia="en-US"/>
        </w:rPr>
      </w:pPr>
    </w:p>
    <w:p w14:paraId="226ABBC5" w14:textId="77777777" w:rsidR="00FF2F42" w:rsidRPr="00A760D1" w:rsidRDefault="00FF2F42" w:rsidP="003554D4">
      <w:pPr>
        <w:shd w:val="clear" w:color="auto" w:fill="FFFFFF"/>
        <w:spacing w:after="200" w:line="228" w:lineRule="auto"/>
        <w:ind w:left="5" w:right="14" w:firstLine="562"/>
        <w:jc w:val="both"/>
        <w:rPr>
          <w:sz w:val="22"/>
          <w:szCs w:val="22"/>
        </w:rPr>
      </w:pPr>
      <w:r w:rsidRPr="00A760D1">
        <w:rPr>
          <w:sz w:val="22"/>
          <w:szCs w:val="22"/>
        </w:rPr>
        <w:t>Ο κύκλος εργασιών αναλύεται ως εξής:</w:t>
      </w:r>
    </w:p>
    <w:tbl>
      <w:tblPr>
        <w:tblW w:w="5000" w:type="pct"/>
        <w:tblLook w:val="04A0" w:firstRow="1" w:lastRow="0" w:firstColumn="1" w:lastColumn="0" w:noHBand="0" w:noVBand="1"/>
      </w:tblPr>
      <w:tblGrid>
        <w:gridCol w:w="5322"/>
        <w:gridCol w:w="2071"/>
        <w:gridCol w:w="2329"/>
      </w:tblGrid>
      <w:tr w:rsidR="00A760D1" w14:paraId="5C888398" w14:textId="77777777" w:rsidTr="00A760D1">
        <w:trPr>
          <w:trHeight w:val="315"/>
        </w:trPr>
        <w:tc>
          <w:tcPr>
            <w:tcW w:w="2737" w:type="pct"/>
            <w:tcBorders>
              <w:top w:val="single" w:sz="12" w:space="0" w:color="auto"/>
              <w:left w:val="single" w:sz="12" w:space="0" w:color="auto"/>
              <w:bottom w:val="nil"/>
              <w:right w:val="single" w:sz="12" w:space="0" w:color="auto"/>
            </w:tcBorders>
            <w:shd w:val="clear" w:color="auto" w:fill="auto"/>
            <w:vAlign w:val="center"/>
            <w:hideMark/>
          </w:tcPr>
          <w:p w14:paraId="73B24290" w14:textId="77777777" w:rsidR="00A760D1" w:rsidRDefault="00A760D1">
            <w:pPr>
              <w:rPr>
                <w:b/>
                <w:bCs/>
                <w:color w:val="000000"/>
                <w:sz w:val="22"/>
                <w:szCs w:val="22"/>
              </w:rPr>
            </w:pPr>
            <w:r>
              <w:rPr>
                <w:b/>
                <w:bCs/>
                <w:color w:val="000000"/>
                <w:sz w:val="22"/>
                <w:szCs w:val="22"/>
              </w:rPr>
              <w:t> </w:t>
            </w:r>
          </w:p>
        </w:tc>
        <w:tc>
          <w:tcPr>
            <w:tcW w:w="1065" w:type="pct"/>
            <w:tcBorders>
              <w:top w:val="single" w:sz="12" w:space="0" w:color="auto"/>
              <w:left w:val="nil"/>
              <w:bottom w:val="nil"/>
              <w:right w:val="single" w:sz="12" w:space="0" w:color="auto"/>
            </w:tcBorders>
            <w:shd w:val="clear" w:color="auto" w:fill="auto"/>
            <w:vAlign w:val="center"/>
            <w:hideMark/>
          </w:tcPr>
          <w:p w14:paraId="18B091E4" w14:textId="77777777" w:rsidR="00A760D1" w:rsidRDefault="00BA57FE">
            <w:pPr>
              <w:jc w:val="center"/>
              <w:rPr>
                <w:b/>
                <w:bCs/>
                <w:color w:val="000000"/>
                <w:sz w:val="22"/>
                <w:szCs w:val="22"/>
              </w:rPr>
            </w:pPr>
            <w:r>
              <w:rPr>
                <w:b/>
                <w:bCs/>
                <w:color w:val="000000"/>
                <w:sz w:val="22"/>
                <w:szCs w:val="22"/>
              </w:rPr>
              <w:t>31/12/2020</w:t>
            </w:r>
          </w:p>
        </w:tc>
        <w:tc>
          <w:tcPr>
            <w:tcW w:w="1198" w:type="pct"/>
            <w:tcBorders>
              <w:top w:val="single" w:sz="12" w:space="0" w:color="auto"/>
              <w:left w:val="nil"/>
              <w:bottom w:val="nil"/>
              <w:right w:val="single" w:sz="12" w:space="0" w:color="auto"/>
            </w:tcBorders>
            <w:shd w:val="clear" w:color="auto" w:fill="auto"/>
            <w:vAlign w:val="center"/>
            <w:hideMark/>
          </w:tcPr>
          <w:p w14:paraId="48D989CE" w14:textId="77777777" w:rsidR="00A760D1" w:rsidRDefault="00AD64DF">
            <w:pPr>
              <w:jc w:val="center"/>
              <w:rPr>
                <w:b/>
                <w:bCs/>
                <w:color w:val="000000"/>
                <w:sz w:val="22"/>
                <w:szCs w:val="22"/>
              </w:rPr>
            </w:pPr>
            <w:r>
              <w:rPr>
                <w:b/>
                <w:bCs/>
                <w:color w:val="000000"/>
                <w:sz w:val="22"/>
                <w:szCs w:val="22"/>
              </w:rPr>
              <w:t>31/12/201</w:t>
            </w:r>
            <w:r w:rsidR="00BA57FE">
              <w:rPr>
                <w:b/>
                <w:bCs/>
                <w:color w:val="000000"/>
                <w:sz w:val="22"/>
                <w:szCs w:val="22"/>
              </w:rPr>
              <w:t>9</w:t>
            </w:r>
          </w:p>
        </w:tc>
      </w:tr>
      <w:tr w:rsidR="00BA57FE" w14:paraId="6615FA29" w14:textId="77777777" w:rsidTr="00AD64DF">
        <w:trPr>
          <w:trHeight w:val="788"/>
        </w:trPr>
        <w:tc>
          <w:tcPr>
            <w:tcW w:w="2737" w:type="pct"/>
            <w:tcBorders>
              <w:top w:val="single" w:sz="12" w:space="0" w:color="auto"/>
              <w:left w:val="single" w:sz="12" w:space="0" w:color="auto"/>
              <w:bottom w:val="nil"/>
              <w:right w:val="single" w:sz="12" w:space="0" w:color="auto"/>
            </w:tcBorders>
            <w:shd w:val="clear" w:color="auto" w:fill="auto"/>
            <w:vAlign w:val="center"/>
          </w:tcPr>
          <w:p w14:paraId="7C2D3D4D" w14:textId="77777777" w:rsidR="00BA57FE" w:rsidRDefault="00BA57FE">
            <w:pPr>
              <w:rPr>
                <w:b/>
                <w:bCs/>
                <w:color w:val="000000"/>
                <w:sz w:val="22"/>
                <w:szCs w:val="22"/>
              </w:rPr>
            </w:pPr>
            <w:r>
              <w:rPr>
                <w:b/>
                <w:bCs/>
                <w:color w:val="000000"/>
                <w:sz w:val="22"/>
                <w:szCs w:val="22"/>
              </w:rPr>
              <w:t>Κατηγορίες δραστηριότητας</w:t>
            </w:r>
          </w:p>
        </w:tc>
        <w:tc>
          <w:tcPr>
            <w:tcW w:w="1065" w:type="pct"/>
            <w:tcBorders>
              <w:top w:val="single" w:sz="12" w:space="0" w:color="auto"/>
              <w:left w:val="nil"/>
              <w:bottom w:val="nil"/>
              <w:right w:val="single" w:sz="12" w:space="0" w:color="auto"/>
            </w:tcBorders>
            <w:shd w:val="clear" w:color="auto" w:fill="auto"/>
            <w:vAlign w:val="center"/>
          </w:tcPr>
          <w:p w14:paraId="6E95A011" w14:textId="77777777" w:rsidR="00BA57FE" w:rsidRDefault="00BA57FE" w:rsidP="00BA57FE">
            <w:pPr>
              <w:rPr>
                <w:color w:val="000000"/>
                <w:sz w:val="22"/>
                <w:szCs w:val="22"/>
              </w:rPr>
            </w:pPr>
          </w:p>
        </w:tc>
        <w:tc>
          <w:tcPr>
            <w:tcW w:w="1198" w:type="pct"/>
            <w:tcBorders>
              <w:top w:val="single" w:sz="12" w:space="0" w:color="auto"/>
              <w:left w:val="nil"/>
              <w:bottom w:val="nil"/>
              <w:right w:val="single" w:sz="12" w:space="0" w:color="auto"/>
            </w:tcBorders>
            <w:shd w:val="clear" w:color="auto" w:fill="auto"/>
            <w:vAlign w:val="center"/>
          </w:tcPr>
          <w:p w14:paraId="7D2A97FF" w14:textId="77777777" w:rsidR="00BA57FE" w:rsidRDefault="00BA57FE" w:rsidP="00BA57FE">
            <w:pPr>
              <w:rPr>
                <w:color w:val="000000"/>
                <w:sz w:val="22"/>
                <w:szCs w:val="22"/>
              </w:rPr>
            </w:pPr>
          </w:p>
        </w:tc>
      </w:tr>
      <w:tr w:rsidR="00BA57FE" w14:paraId="7CAE9790" w14:textId="77777777" w:rsidTr="00A760D1">
        <w:trPr>
          <w:trHeight w:val="315"/>
        </w:trPr>
        <w:tc>
          <w:tcPr>
            <w:tcW w:w="2737" w:type="pct"/>
            <w:tcBorders>
              <w:top w:val="nil"/>
              <w:left w:val="single" w:sz="12" w:space="0" w:color="auto"/>
              <w:bottom w:val="nil"/>
              <w:right w:val="single" w:sz="12" w:space="0" w:color="auto"/>
            </w:tcBorders>
            <w:shd w:val="clear" w:color="auto" w:fill="auto"/>
            <w:vAlign w:val="center"/>
            <w:hideMark/>
          </w:tcPr>
          <w:p w14:paraId="742ADFB7" w14:textId="77777777" w:rsidR="00BA57FE" w:rsidRDefault="00BA57FE" w:rsidP="00BA57FE">
            <w:pPr>
              <w:rPr>
                <w:color w:val="000000"/>
                <w:sz w:val="22"/>
                <w:szCs w:val="22"/>
              </w:rPr>
            </w:pPr>
            <w:r>
              <w:rPr>
                <w:color w:val="000000"/>
                <w:sz w:val="22"/>
                <w:szCs w:val="22"/>
              </w:rPr>
              <w:t>Παροχή υπηρεσιών</w:t>
            </w:r>
          </w:p>
        </w:tc>
        <w:tc>
          <w:tcPr>
            <w:tcW w:w="1065" w:type="pct"/>
            <w:tcBorders>
              <w:top w:val="nil"/>
              <w:left w:val="nil"/>
              <w:bottom w:val="single" w:sz="8" w:space="0" w:color="auto"/>
              <w:right w:val="single" w:sz="12" w:space="0" w:color="auto"/>
            </w:tcBorders>
            <w:shd w:val="clear" w:color="auto" w:fill="auto"/>
            <w:vAlign w:val="center"/>
            <w:hideMark/>
          </w:tcPr>
          <w:p w14:paraId="2BD5741B" w14:textId="77777777" w:rsidR="00BA57FE" w:rsidRDefault="00BA57FE" w:rsidP="00BA57FE">
            <w:pPr>
              <w:jc w:val="right"/>
              <w:rPr>
                <w:color w:val="000000"/>
                <w:sz w:val="22"/>
                <w:szCs w:val="22"/>
              </w:rPr>
            </w:pPr>
            <w:r w:rsidRPr="00BA57FE">
              <w:rPr>
                <w:color w:val="000000"/>
                <w:sz w:val="22"/>
                <w:szCs w:val="22"/>
              </w:rPr>
              <w:t>11.200,00</w:t>
            </w:r>
          </w:p>
        </w:tc>
        <w:tc>
          <w:tcPr>
            <w:tcW w:w="1198" w:type="pct"/>
            <w:tcBorders>
              <w:top w:val="nil"/>
              <w:left w:val="nil"/>
              <w:bottom w:val="single" w:sz="8" w:space="0" w:color="auto"/>
              <w:right w:val="single" w:sz="12" w:space="0" w:color="auto"/>
            </w:tcBorders>
            <w:shd w:val="clear" w:color="auto" w:fill="auto"/>
            <w:vAlign w:val="center"/>
            <w:hideMark/>
          </w:tcPr>
          <w:p w14:paraId="36D3F6C4" w14:textId="77777777" w:rsidR="00BA57FE" w:rsidRDefault="00BA57FE" w:rsidP="00BA57FE">
            <w:pPr>
              <w:jc w:val="right"/>
              <w:rPr>
                <w:color w:val="000000"/>
                <w:sz w:val="22"/>
                <w:szCs w:val="22"/>
              </w:rPr>
            </w:pPr>
            <w:r>
              <w:rPr>
                <w:color w:val="000000"/>
                <w:sz w:val="22"/>
                <w:szCs w:val="22"/>
              </w:rPr>
              <w:t>30.400,00</w:t>
            </w:r>
          </w:p>
        </w:tc>
      </w:tr>
      <w:tr w:rsidR="00BA57FE" w14:paraId="352F5927" w14:textId="77777777" w:rsidTr="00A760D1">
        <w:trPr>
          <w:trHeight w:val="300"/>
        </w:trPr>
        <w:tc>
          <w:tcPr>
            <w:tcW w:w="2737" w:type="pct"/>
            <w:tcBorders>
              <w:top w:val="nil"/>
              <w:left w:val="single" w:sz="12" w:space="0" w:color="auto"/>
              <w:bottom w:val="nil"/>
              <w:right w:val="single" w:sz="12" w:space="0" w:color="auto"/>
            </w:tcBorders>
            <w:shd w:val="clear" w:color="auto" w:fill="auto"/>
            <w:vAlign w:val="center"/>
            <w:hideMark/>
          </w:tcPr>
          <w:p w14:paraId="50F971C3" w14:textId="77777777" w:rsidR="00BA57FE" w:rsidRDefault="00BA57FE" w:rsidP="00BA57FE">
            <w:pPr>
              <w:rPr>
                <w:b/>
                <w:bCs/>
                <w:color w:val="000000"/>
                <w:sz w:val="22"/>
                <w:szCs w:val="22"/>
              </w:rPr>
            </w:pPr>
            <w:r>
              <w:rPr>
                <w:b/>
                <w:bCs/>
                <w:color w:val="000000"/>
                <w:sz w:val="22"/>
                <w:szCs w:val="22"/>
              </w:rPr>
              <w:t>Σύνολο</w:t>
            </w:r>
          </w:p>
        </w:tc>
        <w:tc>
          <w:tcPr>
            <w:tcW w:w="1065" w:type="pct"/>
            <w:tcBorders>
              <w:top w:val="nil"/>
              <w:left w:val="nil"/>
              <w:bottom w:val="double" w:sz="6" w:space="0" w:color="auto"/>
              <w:right w:val="single" w:sz="12" w:space="0" w:color="auto"/>
            </w:tcBorders>
            <w:shd w:val="clear" w:color="auto" w:fill="auto"/>
            <w:vAlign w:val="center"/>
            <w:hideMark/>
          </w:tcPr>
          <w:p w14:paraId="0C8E28D3" w14:textId="77777777" w:rsidR="00BA57FE" w:rsidRDefault="00BA57FE" w:rsidP="00BA57FE">
            <w:pPr>
              <w:jc w:val="right"/>
              <w:rPr>
                <w:b/>
                <w:bCs/>
                <w:color w:val="000000"/>
                <w:sz w:val="22"/>
                <w:szCs w:val="22"/>
              </w:rPr>
            </w:pPr>
            <w:r w:rsidRPr="00BA57FE">
              <w:rPr>
                <w:b/>
                <w:bCs/>
                <w:color w:val="000000"/>
                <w:sz w:val="22"/>
                <w:szCs w:val="22"/>
              </w:rPr>
              <w:t>11.200,00</w:t>
            </w:r>
          </w:p>
        </w:tc>
        <w:tc>
          <w:tcPr>
            <w:tcW w:w="1198" w:type="pct"/>
            <w:tcBorders>
              <w:top w:val="nil"/>
              <w:left w:val="nil"/>
              <w:bottom w:val="double" w:sz="6" w:space="0" w:color="auto"/>
              <w:right w:val="single" w:sz="12" w:space="0" w:color="auto"/>
            </w:tcBorders>
            <w:shd w:val="clear" w:color="auto" w:fill="auto"/>
            <w:vAlign w:val="center"/>
            <w:hideMark/>
          </w:tcPr>
          <w:p w14:paraId="44C0D81B" w14:textId="77777777" w:rsidR="00BA57FE" w:rsidRDefault="00BA57FE" w:rsidP="00BA57FE">
            <w:pPr>
              <w:jc w:val="right"/>
              <w:rPr>
                <w:b/>
                <w:bCs/>
                <w:color w:val="000000"/>
                <w:sz w:val="22"/>
                <w:szCs w:val="22"/>
              </w:rPr>
            </w:pPr>
            <w:r w:rsidRPr="00AD64DF">
              <w:rPr>
                <w:b/>
                <w:bCs/>
                <w:color w:val="000000"/>
                <w:sz w:val="22"/>
                <w:szCs w:val="22"/>
              </w:rPr>
              <w:t>30.400,00</w:t>
            </w:r>
          </w:p>
        </w:tc>
      </w:tr>
      <w:tr w:rsidR="00AD64DF" w14:paraId="24BDF2F4" w14:textId="77777777" w:rsidTr="00A760D1">
        <w:trPr>
          <w:trHeight w:val="300"/>
        </w:trPr>
        <w:tc>
          <w:tcPr>
            <w:tcW w:w="2737" w:type="pct"/>
            <w:tcBorders>
              <w:top w:val="nil"/>
              <w:left w:val="single" w:sz="12" w:space="0" w:color="auto"/>
              <w:bottom w:val="nil"/>
              <w:right w:val="single" w:sz="12" w:space="0" w:color="auto"/>
            </w:tcBorders>
            <w:shd w:val="clear" w:color="auto" w:fill="auto"/>
            <w:vAlign w:val="center"/>
            <w:hideMark/>
          </w:tcPr>
          <w:p w14:paraId="747C02BC" w14:textId="77777777" w:rsidR="00AD64DF" w:rsidRDefault="00AD64DF" w:rsidP="00AD64DF">
            <w:pPr>
              <w:rPr>
                <w:b/>
                <w:bCs/>
                <w:color w:val="000000"/>
                <w:sz w:val="22"/>
                <w:szCs w:val="22"/>
              </w:rPr>
            </w:pPr>
            <w:r>
              <w:rPr>
                <w:b/>
                <w:bCs/>
                <w:color w:val="000000"/>
                <w:sz w:val="22"/>
                <w:szCs w:val="22"/>
              </w:rPr>
              <w:t>Γεωγραφικές αγορές</w:t>
            </w:r>
          </w:p>
        </w:tc>
        <w:tc>
          <w:tcPr>
            <w:tcW w:w="1065" w:type="pct"/>
            <w:tcBorders>
              <w:top w:val="nil"/>
              <w:left w:val="nil"/>
              <w:right w:val="single" w:sz="12" w:space="0" w:color="auto"/>
            </w:tcBorders>
            <w:shd w:val="clear" w:color="auto" w:fill="auto"/>
            <w:vAlign w:val="center"/>
            <w:hideMark/>
          </w:tcPr>
          <w:p w14:paraId="5481D0C5" w14:textId="77777777" w:rsidR="00AD64DF" w:rsidRDefault="00AD64DF" w:rsidP="00AD64DF">
            <w:pPr>
              <w:jc w:val="right"/>
              <w:rPr>
                <w:color w:val="000000"/>
                <w:sz w:val="22"/>
                <w:szCs w:val="22"/>
              </w:rPr>
            </w:pPr>
            <w:r>
              <w:rPr>
                <w:color w:val="000000"/>
                <w:sz w:val="22"/>
                <w:szCs w:val="22"/>
              </w:rPr>
              <w:t> </w:t>
            </w:r>
          </w:p>
        </w:tc>
        <w:tc>
          <w:tcPr>
            <w:tcW w:w="1198" w:type="pct"/>
            <w:tcBorders>
              <w:top w:val="nil"/>
              <w:left w:val="nil"/>
              <w:right w:val="single" w:sz="12" w:space="0" w:color="auto"/>
            </w:tcBorders>
            <w:shd w:val="clear" w:color="auto" w:fill="auto"/>
            <w:vAlign w:val="center"/>
            <w:hideMark/>
          </w:tcPr>
          <w:p w14:paraId="1332F3C1" w14:textId="77777777" w:rsidR="00AD64DF" w:rsidRDefault="00AD64DF" w:rsidP="00AD64DF">
            <w:pPr>
              <w:jc w:val="right"/>
              <w:rPr>
                <w:color w:val="000000"/>
                <w:sz w:val="22"/>
                <w:szCs w:val="22"/>
              </w:rPr>
            </w:pPr>
            <w:r>
              <w:rPr>
                <w:color w:val="000000"/>
                <w:sz w:val="22"/>
                <w:szCs w:val="22"/>
              </w:rPr>
              <w:t> </w:t>
            </w:r>
          </w:p>
        </w:tc>
      </w:tr>
      <w:tr w:rsidR="00BA57FE" w14:paraId="132F20F0" w14:textId="77777777" w:rsidTr="00A760D1">
        <w:trPr>
          <w:trHeight w:val="300"/>
        </w:trPr>
        <w:tc>
          <w:tcPr>
            <w:tcW w:w="2737" w:type="pct"/>
            <w:tcBorders>
              <w:top w:val="nil"/>
              <w:left w:val="single" w:sz="12" w:space="0" w:color="auto"/>
              <w:bottom w:val="nil"/>
              <w:right w:val="single" w:sz="12" w:space="0" w:color="auto"/>
            </w:tcBorders>
            <w:shd w:val="clear" w:color="auto" w:fill="auto"/>
            <w:vAlign w:val="center"/>
            <w:hideMark/>
          </w:tcPr>
          <w:p w14:paraId="261E4B31" w14:textId="77777777" w:rsidR="00BA57FE" w:rsidRDefault="00BA57FE" w:rsidP="00BA57FE">
            <w:pPr>
              <w:rPr>
                <w:color w:val="000000"/>
                <w:sz w:val="22"/>
                <w:szCs w:val="22"/>
              </w:rPr>
            </w:pPr>
            <w:r>
              <w:rPr>
                <w:color w:val="000000"/>
                <w:sz w:val="22"/>
                <w:szCs w:val="22"/>
              </w:rPr>
              <w:t>Εσωτερική αγορά</w:t>
            </w:r>
          </w:p>
        </w:tc>
        <w:tc>
          <w:tcPr>
            <w:tcW w:w="1065" w:type="pct"/>
            <w:tcBorders>
              <w:top w:val="nil"/>
              <w:left w:val="nil"/>
              <w:bottom w:val="single" w:sz="2" w:space="0" w:color="auto"/>
              <w:right w:val="single" w:sz="12" w:space="0" w:color="auto"/>
            </w:tcBorders>
            <w:shd w:val="clear" w:color="auto" w:fill="auto"/>
            <w:vAlign w:val="center"/>
            <w:hideMark/>
          </w:tcPr>
          <w:p w14:paraId="73375464" w14:textId="77777777" w:rsidR="00BA57FE" w:rsidRDefault="00BA57FE" w:rsidP="00BA57FE">
            <w:pPr>
              <w:jc w:val="right"/>
              <w:rPr>
                <w:color w:val="000000"/>
                <w:sz w:val="22"/>
                <w:szCs w:val="22"/>
              </w:rPr>
            </w:pPr>
            <w:r w:rsidRPr="00BA57FE">
              <w:rPr>
                <w:color w:val="000000"/>
                <w:sz w:val="22"/>
                <w:szCs w:val="22"/>
              </w:rPr>
              <w:t>11.200,00</w:t>
            </w:r>
          </w:p>
        </w:tc>
        <w:tc>
          <w:tcPr>
            <w:tcW w:w="1198" w:type="pct"/>
            <w:tcBorders>
              <w:top w:val="nil"/>
              <w:left w:val="nil"/>
              <w:bottom w:val="single" w:sz="2" w:space="0" w:color="auto"/>
              <w:right w:val="single" w:sz="12" w:space="0" w:color="auto"/>
            </w:tcBorders>
            <w:shd w:val="clear" w:color="auto" w:fill="auto"/>
            <w:vAlign w:val="center"/>
            <w:hideMark/>
          </w:tcPr>
          <w:p w14:paraId="2CAD6602" w14:textId="77777777" w:rsidR="00BA57FE" w:rsidRDefault="00BA57FE" w:rsidP="00BA57FE">
            <w:pPr>
              <w:jc w:val="right"/>
              <w:rPr>
                <w:color w:val="000000"/>
                <w:sz w:val="22"/>
                <w:szCs w:val="22"/>
              </w:rPr>
            </w:pPr>
            <w:r w:rsidRPr="00AD64DF">
              <w:rPr>
                <w:color w:val="000000"/>
                <w:sz w:val="22"/>
                <w:szCs w:val="22"/>
              </w:rPr>
              <w:t>30.400,00</w:t>
            </w:r>
          </w:p>
        </w:tc>
      </w:tr>
      <w:tr w:rsidR="00BA57FE" w14:paraId="7208258C" w14:textId="77777777" w:rsidTr="00BA57FE">
        <w:trPr>
          <w:trHeight w:val="52"/>
        </w:trPr>
        <w:tc>
          <w:tcPr>
            <w:tcW w:w="2737" w:type="pct"/>
            <w:tcBorders>
              <w:top w:val="nil"/>
              <w:left w:val="single" w:sz="12" w:space="0" w:color="auto"/>
              <w:bottom w:val="single" w:sz="12" w:space="0" w:color="auto"/>
              <w:right w:val="single" w:sz="12" w:space="0" w:color="auto"/>
            </w:tcBorders>
            <w:shd w:val="clear" w:color="auto" w:fill="auto"/>
            <w:vAlign w:val="center"/>
            <w:hideMark/>
          </w:tcPr>
          <w:p w14:paraId="120F523C" w14:textId="77777777" w:rsidR="00BA57FE" w:rsidRDefault="00BA57FE" w:rsidP="00BA57FE">
            <w:pPr>
              <w:rPr>
                <w:b/>
                <w:bCs/>
                <w:color w:val="000000"/>
                <w:sz w:val="22"/>
                <w:szCs w:val="22"/>
              </w:rPr>
            </w:pPr>
            <w:r>
              <w:rPr>
                <w:b/>
                <w:bCs/>
                <w:color w:val="000000"/>
                <w:sz w:val="22"/>
                <w:szCs w:val="22"/>
              </w:rPr>
              <w:t>Σύνολο</w:t>
            </w:r>
          </w:p>
        </w:tc>
        <w:tc>
          <w:tcPr>
            <w:tcW w:w="1065" w:type="pct"/>
            <w:tcBorders>
              <w:top w:val="single" w:sz="2" w:space="0" w:color="auto"/>
              <w:left w:val="nil"/>
              <w:bottom w:val="double" w:sz="6" w:space="0" w:color="auto"/>
              <w:right w:val="single" w:sz="12" w:space="0" w:color="auto"/>
            </w:tcBorders>
            <w:shd w:val="clear" w:color="auto" w:fill="auto"/>
            <w:vAlign w:val="center"/>
            <w:hideMark/>
          </w:tcPr>
          <w:p w14:paraId="70D2805D" w14:textId="77777777" w:rsidR="00BA57FE" w:rsidRDefault="00BA57FE" w:rsidP="00BA57FE">
            <w:pPr>
              <w:jc w:val="right"/>
              <w:rPr>
                <w:b/>
                <w:bCs/>
                <w:color w:val="000000"/>
                <w:sz w:val="22"/>
                <w:szCs w:val="22"/>
              </w:rPr>
            </w:pPr>
            <w:r w:rsidRPr="00BA57FE">
              <w:rPr>
                <w:b/>
                <w:bCs/>
                <w:color w:val="000000"/>
                <w:sz w:val="22"/>
                <w:szCs w:val="22"/>
              </w:rPr>
              <w:t>11.200,00</w:t>
            </w:r>
          </w:p>
        </w:tc>
        <w:tc>
          <w:tcPr>
            <w:tcW w:w="1198" w:type="pct"/>
            <w:tcBorders>
              <w:top w:val="single" w:sz="2" w:space="0" w:color="auto"/>
              <w:left w:val="nil"/>
              <w:bottom w:val="double" w:sz="6" w:space="0" w:color="auto"/>
              <w:right w:val="single" w:sz="12" w:space="0" w:color="auto"/>
            </w:tcBorders>
            <w:shd w:val="clear" w:color="auto" w:fill="auto"/>
            <w:vAlign w:val="center"/>
            <w:hideMark/>
          </w:tcPr>
          <w:p w14:paraId="5693754E" w14:textId="77777777" w:rsidR="00BA57FE" w:rsidRDefault="00BA57FE" w:rsidP="00BA57FE">
            <w:pPr>
              <w:jc w:val="right"/>
              <w:rPr>
                <w:b/>
                <w:bCs/>
                <w:color w:val="000000"/>
                <w:sz w:val="22"/>
                <w:szCs w:val="22"/>
              </w:rPr>
            </w:pPr>
            <w:r w:rsidRPr="00AD64DF">
              <w:rPr>
                <w:b/>
                <w:bCs/>
                <w:color w:val="000000"/>
                <w:sz w:val="22"/>
                <w:szCs w:val="22"/>
              </w:rPr>
              <w:t>30.400,00</w:t>
            </w:r>
          </w:p>
        </w:tc>
      </w:tr>
    </w:tbl>
    <w:p w14:paraId="3D95617F" w14:textId="77777777" w:rsidR="00A760D1" w:rsidRDefault="00A760D1" w:rsidP="003554D4">
      <w:pPr>
        <w:shd w:val="clear" w:color="auto" w:fill="FFFFFF"/>
        <w:spacing w:after="200" w:line="228" w:lineRule="auto"/>
        <w:ind w:left="5" w:right="14" w:firstLine="562"/>
        <w:jc w:val="both"/>
        <w:rPr>
          <w:sz w:val="22"/>
          <w:szCs w:val="22"/>
          <w:highlight w:val="yellow"/>
        </w:rPr>
      </w:pPr>
    </w:p>
    <w:p w14:paraId="26CA25DF" w14:textId="77777777" w:rsidR="00372E08" w:rsidRPr="00A760D1" w:rsidRDefault="009E738C" w:rsidP="006949A7">
      <w:pPr>
        <w:pStyle w:val="1"/>
        <w:jc w:val="left"/>
      </w:pPr>
      <w:bookmarkStart w:id="56" w:name="_Toc488058551"/>
      <w:bookmarkStart w:id="57" w:name="_Toc15546012"/>
      <w:r w:rsidRPr="00A760D1">
        <w:rPr>
          <w:lang w:val="el-GR"/>
        </w:rPr>
        <w:t>19</w:t>
      </w:r>
      <w:r w:rsidR="00FF2F42" w:rsidRPr="00A760D1">
        <w:t>.  Σ</w:t>
      </w:r>
      <w:r w:rsidR="00372E08" w:rsidRPr="00A760D1">
        <w:t>υμμετοχές σε εταιρείες με απεριόριστη ευθύνη των εταίρων</w:t>
      </w:r>
      <w:bookmarkEnd w:id="56"/>
      <w:bookmarkEnd w:id="57"/>
    </w:p>
    <w:p w14:paraId="341BA298" w14:textId="77777777" w:rsidR="00523C3C" w:rsidRPr="00A760D1" w:rsidRDefault="00523C3C" w:rsidP="00523C3C">
      <w:pPr>
        <w:rPr>
          <w:sz w:val="16"/>
          <w:szCs w:val="16"/>
          <w:lang w:eastAsia="en-US"/>
        </w:rPr>
      </w:pPr>
    </w:p>
    <w:p w14:paraId="23397F1B" w14:textId="77777777" w:rsidR="00FF2F42" w:rsidRPr="00A760D1" w:rsidRDefault="00FF2F42" w:rsidP="00B82D0D">
      <w:pPr>
        <w:shd w:val="clear" w:color="auto" w:fill="FFFFFF"/>
        <w:spacing w:after="200" w:line="276" w:lineRule="auto"/>
        <w:ind w:left="5" w:right="14" w:firstLine="562"/>
        <w:jc w:val="both"/>
        <w:rPr>
          <w:sz w:val="22"/>
          <w:szCs w:val="22"/>
        </w:rPr>
      </w:pPr>
      <w:r w:rsidRPr="00A760D1">
        <w:rPr>
          <w:sz w:val="22"/>
          <w:szCs w:val="22"/>
        </w:rPr>
        <w:t>Δεν υπάρχουν τέτοιες συμμετοχές.</w:t>
      </w:r>
    </w:p>
    <w:p w14:paraId="6FCDF923" w14:textId="77777777" w:rsidR="00B02CCA" w:rsidRPr="00A131AE" w:rsidRDefault="00B02CCA" w:rsidP="00523C3C">
      <w:pPr>
        <w:pStyle w:val="a8"/>
        <w:rPr>
          <w:highlight w:val="yellow"/>
        </w:rPr>
      </w:pPr>
    </w:p>
    <w:p w14:paraId="4BDB94BF" w14:textId="77777777" w:rsidR="00372E08" w:rsidRPr="003B0ED9" w:rsidRDefault="009E738C" w:rsidP="006949A7">
      <w:pPr>
        <w:pStyle w:val="1"/>
        <w:jc w:val="left"/>
      </w:pPr>
      <w:bookmarkStart w:id="58" w:name="_Toc488058552"/>
      <w:bookmarkStart w:id="59" w:name="_Toc15546013"/>
      <w:r w:rsidRPr="003B0ED9">
        <w:rPr>
          <w:lang w:val="el-GR"/>
        </w:rPr>
        <w:t>20</w:t>
      </w:r>
      <w:r w:rsidR="00FF2F42" w:rsidRPr="003B0ED9">
        <w:t>.  Σ</w:t>
      </w:r>
      <w:r w:rsidR="00372E08" w:rsidRPr="003B0ED9">
        <w:t>τοιχεία της εταιρείας που καταρτίζει ενοποιημένες χρηματοοικονομικές καταστάσεις του τελικού συνόλου επιχειρήσεων, μέρος του οποίου αποτελεί η εταιρεία ως θυγατρική</w:t>
      </w:r>
      <w:bookmarkEnd w:id="58"/>
      <w:bookmarkEnd w:id="59"/>
    </w:p>
    <w:p w14:paraId="41E645EB" w14:textId="77777777" w:rsidR="00523C3C" w:rsidRPr="003B0ED9" w:rsidRDefault="00523C3C" w:rsidP="00523C3C">
      <w:pPr>
        <w:rPr>
          <w:sz w:val="16"/>
          <w:szCs w:val="16"/>
          <w:lang w:eastAsia="en-US"/>
        </w:rPr>
      </w:pPr>
    </w:p>
    <w:p w14:paraId="3A151CBE" w14:textId="77777777" w:rsidR="001A260B" w:rsidRDefault="001A260B" w:rsidP="001A260B">
      <w:pPr>
        <w:shd w:val="clear" w:color="auto" w:fill="FFFFFF"/>
        <w:spacing w:after="200" w:line="276" w:lineRule="auto"/>
        <w:ind w:left="5" w:right="14" w:firstLine="562"/>
        <w:jc w:val="both"/>
        <w:rPr>
          <w:sz w:val="22"/>
          <w:szCs w:val="22"/>
        </w:rPr>
      </w:pPr>
      <w:r w:rsidRPr="003B0ED9">
        <w:rPr>
          <w:sz w:val="22"/>
          <w:szCs w:val="22"/>
        </w:rPr>
        <w:t>Η εταιρεία ανήκει σε τελικό σύνολο επιχειρήσεων για το οποίο καταρτίζονται ενοποιημένες οικονομικές καταστάσεις. Υποχρέωση καταρτίσεως αυτών των ενοποιημένων καταστάσεων έχει η μητρική εταιρεία «ΒΙΑΝΕΞ Α.Ε. ΑΝΩΝΥΜΟΣ ΕΜΠΟΡΟΒΙΟΜΗΧΑΝΙΚΗ-ΤΟΥΡΙΣΤΙΚΗ-ΞΕΝΟΔΟΧΕΙΑΚΗ ΚΑΙ ΝΑΥΤΙΛΙΑΚΗ ΑΝΩΝΥΜΟΣ ΕΤΑΙΡΕΙΑ» με τον διακριτικό τίτλο «ΒΙΑΝΕΞ ΑΕ» με έδρα τα γραφεία της επί της οδού ΤΑΤΟΪΟΥ, 18ο ΧΛΜ ΕΘΝΙΚΗΣ ΟΔΟΥ ΑΘΗΝΩΝ-ΛΑΜΙΑΣ, 146 71, ΚΗΦΙΣΙΑ.</w:t>
      </w:r>
    </w:p>
    <w:p w14:paraId="56FC6CBB" w14:textId="77777777" w:rsidR="003506D2" w:rsidRPr="003B0ED9" w:rsidRDefault="003506D2" w:rsidP="001A260B">
      <w:pPr>
        <w:shd w:val="clear" w:color="auto" w:fill="FFFFFF"/>
        <w:spacing w:after="200" w:line="276" w:lineRule="auto"/>
        <w:ind w:left="5" w:right="14" w:firstLine="562"/>
        <w:jc w:val="both"/>
        <w:rPr>
          <w:sz w:val="22"/>
          <w:szCs w:val="22"/>
        </w:rPr>
      </w:pPr>
    </w:p>
    <w:p w14:paraId="2CE41541" w14:textId="77777777" w:rsidR="00372E08" w:rsidRPr="003B0ED9" w:rsidRDefault="009E738C" w:rsidP="006949A7">
      <w:pPr>
        <w:pStyle w:val="1"/>
        <w:jc w:val="left"/>
      </w:pPr>
      <w:bookmarkStart w:id="60" w:name="_Toc488058553"/>
      <w:bookmarkStart w:id="61" w:name="_Toc15546014"/>
      <w:r w:rsidRPr="003B0ED9">
        <w:rPr>
          <w:lang w:val="el-GR"/>
        </w:rPr>
        <w:t>21</w:t>
      </w:r>
      <w:r w:rsidR="00FF2F42" w:rsidRPr="003B0ED9">
        <w:t xml:space="preserve">. </w:t>
      </w:r>
      <w:r w:rsidR="00372E08" w:rsidRPr="003B0ED9">
        <w:t xml:space="preserve"> Στοιχεία της εταιρείας που καταρτίζει ενοποιημένες χρηματοοικονομικές καταστάσεις μερικού συνόλου επιχειρήσεων, μέρος του οποίου αποτελεί η εταιρεία ως θυγατρική</w:t>
      </w:r>
      <w:bookmarkEnd w:id="60"/>
      <w:bookmarkEnd w:id="61"/>
    </w:p>
    <w:p w14:paraId="451037DA" w14:textId="77777777" w:rsidR="00523C3C" w:rsidRPr="003B0ED9" w:rsidRDefault="00523C3C" w:rsidP="00523C3C">
      <w:pPr>
        <w:rPr>
          <w:sz w:val="16"/>
          <w:szCs w:val="16"/>
          <w:lang w:eastAsia="en-US"/>
        </w:rPr>
      </w:pPr>
    </w:p>
    <w:p w14:paraId="1A3B8CDA" w14:textId="77777777" w:rsidR="001A260B" w:rsidRPr="003B0ED9" w:rsidRDefault="001A260B" w:rsidP="001A260B">
      <w:pPr>
        <w:shd w:val="clear" w:color="auto" w:fill="FFFFFF"/>
        <w:spacing w:after="200" w:line="276" w:lineRule="auto"/>
        <w:ind w:left="5" w:right="14" w:firstLine="562"/>
        <w:jc w:val="both"/>
        <w:rPr>
          <w:sz w:val="22"/>
          <w:szCs w:val="22"/>
        </w:rPr>
      </w:pPr>
      <w:r w:rsidRPr="003B0ED9">
        <w:rPr>
          <w:sz w:val="22"/>
          <w:szCs w:val="22"/>
        </w:rPr>
        <w:t>Η εταιρεία δεν ανήκει σε μερικό σύνολο επιχειρήσεων για το οποίο καταρτίζονται ενοποιημένες οικονομικές καταστάσεις.</w:t>
      </w:r>
    </w:p>
    <w:p w14:paraId="799734D3" w14:textId="77777777" w:rsidR="00E42549" w:rsidRPr="003B0ED9" w:rsidRDefault="00FF2F42" w:rsidP="006949A7">
      <w:pPr>
        <w:pStyle w:val="1"/>
        <w:jc w:val="left"/>
      </w:pPr>
      <w:bookmarkStart w:id="62" w:name="_Toc488058554"/>
      <w:bookmarkStart w:id="63" w:name="_Toc15546015"/>
      <w:r w:rsidRPr="003B0ED9">
        <w:t>﻿</w:t>
      </w:r>
      <w:r w:rsidR="009E738C" w:rsidRPr="003B0ED9">
        <w:rPr>
          <w:lang w:val="el-GR"/>
        </w:rPr>
        <w:t>22</w:t>
      </w:r>
      <w:r w:rsidRPr="003B0ED9">
        <w:t>. Τ</w:t>
      </w:r>
      <w:r w:rsidR="00E42549" w:rsidRPr="003B0ED9">
        <w:t>όπος στον οποίο διατίθενται οι ενοποιημένες χρηματοοικονομικές καταστάσεις</w:t>
      </w:r>
      <w:bookmarkEnd w:id="62"/>
      <w:bookmarkEnd w:id="63"/>
    </w:p>
    <w:p w14:paraId="38D2743F" w14:textId="77777777" w:rsidR="00523C3C" w:rsidRPr="003B0ED9" w:rsidRDefault="00523C3C" w:rsidP="00523C3C">
      <w:pPr>
        <w:rPr>
          <w:sz w:val="16"/>
          <w:szCs w:val="16"/>
          <w:lang w:eastAsia="en-US"/>
        </w:rPr>
      </w:pPr>
    </w:p>
    <w:p w14:paraId="7CC25672" w14:textId="77777777" w:rsidR="00A64D4E" w:rsidRDefault="00A64D4E" w:rsidP="00A64D4E">
      <w:pPr>
        <w:shd w:val="clear" w:color="auto" w:fill="FFFFFF"/>
        <w:spacing w:after="200" w:line="276" w:lineRule="auto"/>
        <w:ind w:left="5" w:right="14" w:firstLine="562"/>
        <w:jc w:val="both"/>
        <w:rPr>
          <w:sz w:val="22"/>
          <w:szCs w:val="22"/>
        </w:rPr>
      </w:pPr>
      <w:r w:rsidRPr="003B0ED9">
        <w:rPr>
          <w:sz w:val="22"/>
          <w:szCs w:val="22"/>
        </w:rPr>
        <w:t xml:space="preserve">Οι ενδιαφερόμενοι μπορούν να προμηθευτούν τις ενοποιημένες χρηματοοικονομικές καταστάσεις του τελικού συνόλου επιχειρήσεων, στα επί της οδού ΤΑΤΟΪΟΥ, 18ο ΧΛΜ ΕΘΝΙΚΗΣ ΟΔΟΥ ΑΘΗΝΩΝ-ΛΑΜΙΑΣ, 146 71, ΚΗΦΙΣΙΑ γραφεία της μητρικής εταιρείας </w:t>
      </w:r>
      <w:r w:rsidR="006553E2" w:rsidRPr="003B0ED9">
        <w:rPr>
          <w:sz w:val="22"/>
          <w:szCs w:val="22"/>
        </w:rPr>
        <w:t>ΒΙΑΞΕΞ Α.Ε</w:t>
      </w:r>
      <w:r w:rsidRPr="003B0ED9">
        <w:rPr>
          <w:sz w:val="22"/>
          <w:szCs w:val="22"/>
        </w:rPr>
        <w:t>.</w:t>
      </w:r>
    </w:p>
    <w:p w14:paraId="467B5125" w14:textId="77777777" w:rsidR="003506D2" w:rsidRPr="003B0ED9" w:rsidRDefault="003506D2" w:rsidP="00A64D4E">
      <w:pPr>
        <w:shd w:val="clear" w:color="auto" w:fill="FFFFFF"/>
        <w:spacing w:after="200" w:line="276" w:lineRule="auto"/>
        <w:ind w:left="5" w:right="14" w:firstLine="562"/>
        <w:jc w:val="both"/>
        <w:rPr>
          <w:sz w:val="22"/>
          <w:szCs w:val="22"/>
        </w:rPr>
      </w:pPr>
    </w:p>
    <w:p w14:paraId="03E4CA7E" w14:textId="77777777" w:rsidR="00E42549" w:rsidRPr="00D3458A" w:rsidRDefault="009E738C" w:rsidP="006949A7">
      <w:pPr>
        <w:pStyle w:val="1"/>
        <w:jc w:val="left"/>
      </w:pPr>
      <w:bookmarkStart w:id="64" w:name="_Toc488058555"/>
      <w:bookmarkStart w:id="65" w:name="_Toc15546016"/>
      <w:r w:rsidRPr="00D3458A">
        <w:rPr>
          <w:lang w:val="el-GR"/>
        </w:rPr>
        <w:t>23</w:t>
      </w:r>
      <w:r w:rsidR="00FF2F42" w:rsidRPr="00D3458A">
        <w:t>. Α</w:t>
      </w:r>
      <w:r w:rsidR="00E42549" w:rsidRPr="00D3458A">
        <w:t>μοιβές σε μέλη διοικητικών διαχειριστικών και εποπτικών οργάνων</w:t>
      </w:r>
      <w:bookmarkEnd w:id="64"/>
      <w:bookmarkEnd w:id="65"/>
    </w:p>
    <w:p w14:paraId="7B38F346" w14:textId="77777777" w:rsidR="00064B23" w:rsidRPr="00D3458A" w:rsidRDefault="00064B23" w:rsidP="00064B23">
      <w:pPr>
        <w:rPr>
          <w:sz w:val="16"/>
          <w:szCs w:val="16"/>
          <w:lang w:eastAsia="en-US"/>
        </w:rPr>
      </w:pPr>
    </w:p>
    <w:p w14:paraId="52D9CAC6" w14:textId="77777777" w:rsidR="008115D1" w:rsidRPr="00D3458A" w:rsidRDefault="00BA57FE" w:rsidP="00B82D0D">
      <w:pPr>
        <w:shd w:val="clear" w:color="auto" w:fill="FFFFFF"/>
        <w:spacing w:after="200" w:line="276" w:lineRule="auto"/>
        <w:ind w:left="5" w:right="14" w:firstLine="562"/>
        <w:jc w:val="both"/>
        <w:rPr>
          <w:sz w:val="22"/>
          <w:szCs w:val="22"/>
        </w:rPr>
      </w:pPr>
      <w:r>
        <w:rPr>
          <w:sz w:val="22"/>
          <w:szCs w:val="22"/>
        </w:rPr>
        <w:t>Δεν συντρέχει.</w:t>
      </w:r>
    </w:p>
    <w:p w14:paraId="084501FF" w14:textId="77777777" w:rsidR="00685A75" w:rsidRPr="00D3458A" w:rsidRDefault="00685A75" w:rsidP="00064B23">
      <w:pPr>
        <w:pStyle w:val="a8"/>
      </w:pPr>
    </w:p>
    <w:p w14:paraId="5A6A54F9" w14:textId="77777777" w:rsidR="003506D2" w:rsidRPr="00D3458A" w:rsidRDefault="003506D2" w:rsidP="00064B23">
      <w:pPr>
        <w:pStyle w:val="a8"/>
      </w:pPr>
    </w:p>
    <w:p w14:paraId="3C4ABD48" w14:textId="77777777" w:rsidR="00E42549" w:rsidRPr="00D3458A" w:rsidRDefault="009E738C" w:rsidP="006949A7">
      <w:pPr>
        <w:pStyle w:val="1"/>
        <w:jc w:val="left"/>
      </w:pPr>
      <w:bookmarkStart w:id="66" w:name="_Toc488058556"/>
      <w:bookmarkStart w:id="67" w:name="_Toc15546017"/>
      <w:r w:rsidRPr="00D3458A">
        <w:rPr>
          <w:lang w:val="el-GR"/>
        </w:rPr>
        <w:t>24</w:t>
      </w:r>
      <w:r w:rsidR="00FF2F42" w:rsidRPr="00D3458A">
        <w:t>. Σ</w:t>
      </w:r>
      <w:r w:rsidR="00E42549" w:rsidRPr="00D3458A">
        <w:t>υναλλαγές με συνδεμένα μέρη</w:t>
      </w:r>
      <w:bookmarkEnd w:id="66"/>
      <w:bookmarkEnd w:id="67"/>
    </w:p>
    <w:p w14:paraId="1A4C516B" w14:textId="77777777" w:rsidR="00064B23" w:rsidRPr="00D3458A" w:rsidRDefault="00064B23" w:rsidP="00064B23">
      <w:pPr>
        <w:rPr>
          <w:sz w:val="16"/>
          <w:szCs w:val="16"/>
          <w:lang w:eastAsia="en-US"/>
        </w:rPr>
      </w:pPr>
    </w:p>
    <w:p w14:paraId="7CDC3CAD" w14:textId="77777777" w:rsidR="00A64D4E" w:rsidRPr="00D3458A" w:rsidRDefault="00A64D4E" w:rsidP="00A64D4E">
      <w:pPr>
        <w:shd w:val="clear" w:color="auto" w:fill="FFFFFF"/>
        <w:spacing w:after="200" w:line="276" w:lineRule="auto"/>
        <w:ind w:left="5" w:right="14" w:firstLine="562"/>
        <w:jc w:val="both"/>
        <w:rPr>
          <w:sz w:val="22"/>
          <w:szCs w:val="22"/>
        </w:rPr>
      </w:pPr>
      <w:r w:rsidRPr="00D3458A">
        <w:rPr>
          <w:sz w:val="22"/>
          <w:szCs w:val="22"/>
        </w:rPr>
        <w:t>Η εταιρεία έχει πραγματοποιήσει τις κατωτέρω συναλλαγές με συνδεμένα μέρη και στο τέλος της χρήσεως έχει τα κατωτέρω υπόλοιπα απαιτήσεων ή υποχρεώσεων από και προς συνδεμένα μέρη:</w:t>
      </w:r>
    </w:p>
    <w:tbl>
      <w:tblPr>
        <w:tblW w:w="9654" w:type="dxa"/>
        <w:tblInd w:w="93" w:type="dxa"/>
        <w:tblLook w:val="04A0" w:firstRow="1" w:lastRow="0" w:firstColumn="1" w:lastColumn="0" w:noHBand="0" w:noVBand="1"/>
      </w:tblPr>
      <w:tblGrid>
        <w:gridCol w:w="5020"/>
        <w:gridCol w:w="2366"/>
        <w:gridCol w:w="2268"/>
      </w:tblGrid>
      <w:tr w:rsidR="00757270" w:rsidRPr="00D3458A" w14:paraId="026DEC90" w14:textId="77777777" w:rsidTr="00757270">
        <w:trPr>
          <w:trHeight w:val="315"/>
        </w:trPr>
        <w:tc>
          <w:tcPr>
            <w:tcW w:w="5020"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2810ABA4" w14:textId="77777777" w:rsidR="00757270" w:rsidRPr="00D3458A" w:rsidRDefault="00757270">
            <w:pPr>
              <w:rPr>
                <w:b/>
                <w:bCs/>
                <w:color w:val="000000"/>
                <w:sz w:val="22"/>
                <w:szCs w:val="22"/>
              </w:rPr>
            </w:pPr>
            <w:r w:rsidRPr="00D3458A">
              <w:rPr>
                <w:b/>
                <w:bCs/>
                <w:color w:val="000000"/>
                <w:sz w:val="22"/>
                <w:szCs w:val="22"/>
              </w:rPr>
              <w:t> </w:t>
            </w:r>
          </w:p>
        </w:tc>
        <w:tc>
          <w:tcPr>
            <w:tcW w:w="2366" w:type="dxa"/>
            <w:tcBorders>
              <w:top w:val="single" w:sz="12" w:space="0" w:color="auto"/>
              <w:left w:val="nil"/>
              <w:bottom w:val="nil"/>
              <w:right w:val="single" w:sz="12" w:space="0" w:color="auto"/>
            </w:tcBorders>
            <w:shd w:val="clear" w:color="auto" w:fill="auto"/>
            <w:vAlign w:val="center"/>
            <w:hideMark/>
          </w:tcPr>
          <w:p w14:paraId="2295708C" w14:textId="77777777" w:rsidR="00757270" w:rsidRPr="00D3458A" w:rsidRDefault="00BA57FE" w:rsidP="004B03D1">
            <w:pPr>
              <w:jc w:val="center"/>
              <w:rPr>
                <w:b/>
                <w:bCs/>
                <w:color w:val="000000"/>
                <w:sz w:val="22"/>
                <w:szCs w:val="22"/>
                <w:lang w:val="en-US"/>
              </w:rPr>
            </w:pPr>
            <w:r>
              <w:rPr>
                <w:b/>
                <w:bCs/>
                <w:color w:val="000000"/>
                <w:sz w:val="22"/>
                <w:szCs w:val="22"/>
              </w:rPr>
              <w:t>31/12/2020</w:t>
            </w:r>
          </w:p>
        </w:tc>
        <w:tc>
          <w:tcPr>
            <w:tcW w:w="2268" w:type="dxa"/>
            <w:tcBorders>
              <w:top w:val="single" w:sz="12" w:space="0" w:color="auto"/>
              <w:left w:val="nil"/>
              <w:bottom w:val="nil"/>
              <w:right w:val="single" w:sz="12" w:space="0" w:color="auto"/>
            </w:tcBorders>
            <w:shd w:val="clear" w:color="auto" w:fill="auto"/>
            <w:vAlign w:val="center"/>
            <w:hideMark/>
          </w:tcPr>
          <w:p w14:paraId="5A0B66A7" w14:textId="77777777" w:rsidR="00757270" w:rsidRPr="00D3458A" w:rsidRDefault="002617E7" w:rsidP="00D3458A">
            <w:pPr>
              <w:jc w:val="center"/>
              <w:rPr>
                <w:b/>
                <w:bCs/>
                <w:color w:val="000000"/>
                <w:sz w:val="22"/>
                <w:szCs w:val="22"/>
                <w:lang w:val="en-US"/>
              </w:rPr>
            </w:pPr>
            <w:r w:rsidRPr="00D3458A">
              <w:rPr>
                <w:b/>
                <w:bCs/>
                <w:color w:val="000000"/>
                <w:sz w:val="22"/>
                <w:szCs w:val="22"/>
              </w:rPr>
              <w:t>31/12/201</w:t>
            </w:r>
            <w:r w:rsidR="00BA57FE">
              <w:rPr>
                <w:b/>
                <w:bCs/>
                <w:color w:val="000000"/>
                <w:sz w:val="22"/>
                <w:szCs w:val="22"/>
                <w:lang w:val="en-US"/>
              </w:rPr>
              <w:t>9</w:t>
            </w:r>
          </w:p>
        </w:tc>
      </w:tr>
      <w:tr w:rsidR="00757270" w:rsidRPr="00D3458A" w14:paraId="6F66ED88" w14:textId="77777777" w:rsidTr="00757270">
        <w:trPr>
          <w:trHeight w:val="315"/>
        </w:trPr>
        <w:tc>
          <w:tcPr>
            <w:tcW w:w="5020" w:type="dxa"/>
            <w:tcBorders>
              <w:top w:val="nil"/>
              <w:left w:val="single" w:sz="12" w:space="0" w:color="auto"/>
              <w:bottom w:val="nil"/>
              <w:right w:val="single" w:sz="12" w:space="0" w:color="auto"/>
            </w:tcBorders>
            <w:shd w:val="clear" w:color="auto" w:fill="auto"/>
            <w:vAlign w:val="center"/>
            <w:hideMark/>
          </w:tcPr>
          <w:p w14:paraId="4E190643" w14:textId="77777777" w:rsidR="00757270" w:rsidRPr="00D3458A" w:rsidRDefault="00757270">
            <w:pPr>
              <w:rPr>
                <w:b/>
                <w:bCs/>
                <w:color w:val="000000"/>
                <w:sz w:val="22"/>
                <w:szCs w:val="22"/>
              </w:rPr>
            </w:pPr>
            <w:r w:rsidRPr="00D3458A">
              <w:rPr>
                <w:b/>
                <w:bCs/>
                <w:color w:val="000000"/>
                <w:sz w:val="22"/>
                <w:szCs w:val="22"/>
              </w:rPr>
              <w:t>Σωρευτικές πωλήσεις</w:t>
            </w:r>
          </w:p>
        </w:tc>
        <w:tc>
          <w:tcPr>
            <w:tcW w:w="2366" w:type="dxa"/>
            <w:tcBorders>
              <w:top w:val="single" w:sz="12" w:space="0" w:color="auto"/>
              <w:left w:val="nil"/>
              <w:right w:val="single" w:sz="12" w:space="0" w:color="auto"/>
            </w:tcBorders>
            <w:shd w:val="clear" w:color="auto" w:fill="auto"/>
            <w:vAlign w:val="center"/>
            <w:hideMark/>
          </w:tcPr>
          <w:p w14:paraId="311209CA" w14:textId="77777777" w:rsidR="00757270" w:rsidRPr="00D3458A" w:rsidRDefault="00757270">
            <w:pPr>
              <w:rPr>
                <w:color w:val="000000"/>
                <w:sz w:val="22"/>
                <w:szCs w:val="22"/>
              </w:rPr>
            </w:pPr>
            <w:r w:rsidRPr="00D3458A">
              <w:rPr>
                <w:color w:val="000000"/>
                <w:sz w:val="22"/>
                <w:szCs w:val="22"/>
              </w:rPr>
              <w:t> </w:t>
            </w:r>
          </w:p>
        </w:tc>
        <w:tc>
          <w:tcPr>
            <w:tcW w:w="2268" w:type="dxa"/>
            <w:tcBorders>
              <w:top w:val="single" w:sz="12" w:space="0" w:color="auto"/>
              <w:left w:val="nil"/>
              <w:right w:val="single" w:sz="12" w:space="0" w:color="auto"/>
            </w:tcBorders>
            <w:shd w:val="clear" w:color="auto" w:fill="auto"/>
            <w:vAlign w:val="center"/>
            <w:hideMark/>
          </w:tcPr>
          <w:p w14:paraId="1C0E65DF" w14:textId="77777777" w:rsidR="00757270" w:rsidRPr="00D3458A" w:rsidRDefault="00757270">
            <w:pPr>
              <w:rPr>
                <w:color w:val="000000"/>
                <w:sz w:val="22"/>
                <w:szCs w:val="22"/>
              </w:rPr>
            </w:pPr>
            <w:r w:rsidRPr="00D3458A">
              <w:rPr>
                <w:color w:val="000000"/>
                <w:sz w:val="22"/>
                <w:szCs w:val="22"/>
              </w:rPr>
              <w:t> </w:t>
            </w:r>
          </w:p>
        </w:tc>
      </w:tr>
      <w:tr w:rsidR="00BA57FE" w:rsidRPr="00D3458A" w14:paraId="2716C39C" w14:textId="77777777" w:rsidTr="00757270">
        <w:trPr>
          <w:trHeight w:val="300"/>
        </w:trPr>
        <w:tc>
          <w:tcPr>
            <w:tcW w:w="5020" w:type="dxa"/>
            <w:tcBorders>
              <w:top w:val="nil"/>
              <w:left w:val="single" w:sz="12" w:space="0" w:color="auto"/>
              <w:bottom w:val="nil"/>
              <w:right w:val="single" w:sz="12" w:space="0" w:color="auto"/>
            </w:tcBorders>
            <w:shd w:val="clear" w:color="auto" w:fill="auto"/>
            <w:vAlign w:val="center"/>
            <w:hideMark/>
          </w:tcPr>
          <w:p w14:paraId="5AB36C39" w14:textId="77777777" w:rsidR="00BA57FE" w:rsidRPr="00D3458A" w:rsidRDefault="00BA57FE" w:rsidP="00BA57FE">
            <w:pPr>
              <w:rPr>
                <w:color w:val="000000"/>
                <w:sz w:val="22"/>
                <w:szCs w:val="22"/>
              </w:rPr>
            </w:pPr>
            <w:r w:rsidRPr="00D3458A">
              <w:rPr>
                <w:color w:val="000000"/>
                <w:sz w:val="22"/>
                <w:szCs w:val="22"/>
              </w:rPr>
              <w:t>Πωλήσεις υπηρεσιών</w:t>
            </w:r>
          </w:p>
        </w:tc>
        <w:tc>
          <w:tcPr>
            <w:tcW w:w="2366" w:type="dxa"/>
            <w:tcBorders>
              <w:top w:val="nil"/>
              <w:left w:val="nil"/>
              <w:bottom w:val="single" w:sz="4" w:space="0" w:color="auto"/>
              <w:right w:val="single" w:sz="12" w:space="0" w:color="auto"/>
            </w:tcBorders>
            <w:shd w:val="clear" w:color="auto" w:fill="auto"/>
            <w:vAlign w:val="center"/>
            <w:hideMark/>
          </w:tcPr>
          <w:p w14:paraId="304B9D40" w14:textId="77777777" w:rsidR="00BA57FE" w:rsidRPr="00D3458A" w:rsidRDefault="00BA57FE" w:rsidP="00BA57FE">
            <w:pPr>
              <w:jc w:val="right"/>
              <w:rPr>
                <w:color w:val="000000"/>
                <w:sz w:val="22"/>
                <w:szCs w:val="22"/>
              </w:rPr>
            </w:pPr>
            <w:r w:rsidRPr="00BA57FE">
              <w:rPr>
                <w:color w:val="000000"/>
                <w:sz w:val="22"/>
                <w:szCs w:val="22"/>
              </w:rPr>
              <w:t>11.200,00</w:t>
            </w:r>
          </w:p>
        </w:tc>
        <w:tc>
          <w:tcPr>
            <w:tcW w:w="2268" w:type="dxa"/>
            <w:tcBorders>
              <w:top w:val="nil"/>
              <w:left w:val="nil"/>
              <w:bottom w:val="single" w:sz="4" w:space="0" w:color="auto"/>
              <w:right w:val="single" w:sz="12" w:space="0" w:color="auto"/>
            </w:tcBorders>
            <w:shd w:val="clear" w:color="auto" w:fill="auto"/>
            <w:vAlign w:val="center"/>
            <w:hideMark/>
          </w:tcPr>
          <w:p w14:paraId="5FDC7238" w14:textId="77777777" w:rsidR="00BA57FE" w:rsidRPr="00D3458A" w:rsidRDefault="00BA57FE" w:rsidP="00BA57FE">
            <w:pPr>
              <w:jc w:val="right"/>
              <w:rPr>
                <w:color w:val="000000"/>
                <w:sz w:val="22"/>
                <w:szCs w:val="22"/>
              </w:rPr>
            </w:pPr>
            <w:r>
              <w:rPr>
                <w:color w:val="000000"/>
                <w:sz w:val="22"/>
                <w:szCs w:val="22"/>
              </w:rPr>
              <w:t>3</w:t>
            </w:r>
            <w:r w:rsidRPr="00D3458A">
              <w:rPr>
                <w:color w:val="000000"/>
                <w:sz w:val="22"/>
                <w:szCs w:val="22"/>
                <w:lang w:val="en-US"/>
              </w:rPr>
              <w:t>0</w:t>
            </w:r>
            <w:r>
              <w:rPr>
                <w:color w:val="000000"/>
                <w:sz w:val="22"/>
                <w:szCs w:val="22"/>
              </w:rPr>
              <w:t>.4</w:t>
            </w:r>
            <w:r w:rsidRPr="00D3458A">
              <w:rPr>
                <w:color w:val="000000"/>
                <w:sz w:val="22"/>
                <w:szCs w:val="22"/>
              </w:rPr>
              <w:t>00,00</w:t>
            </w:r>
          </w:p>
        </w:tc>
      </w:tr>
      <w:tr w:rsidR="00BA57FE" w:rsidRPr="00D3458A" w14:paraId="26D26F20" w14:textId="77777777" w:rsidTr="00757270">
        <w:trPr>
          <w:trHeight w:val="315"/>
        </w:trPr>
        <w:tc>
          <w:tcPr>
            <w:tcW w:w="5020" w:type="dxa"/>
            <w:tcBorders>
              <w:top w:val="nil"/>
              <w:left w:val="single" w:sz="12" w:space="0" w:color="auto"/>
              <w:bottom w:val="nil"/>
              <w:right w:val="single" w:sz="12" w:space="0" w:color="auto"/>
            </w:tcBorders>
            <w:shd w:val="clear" w:color="auto" w:fill="auto"/>
            <w:vAlign w:val="center"/>
            <w:hideMark/>
          </w:tcPr>
          <w:p w14:paraId="2F5AF56A" w14:textId="77777777" w:rsidR="00BA57FE" w:rsidRPr="00D3458A" w:rsidRDefault="00BA57FE" w:rsidP="00BA57FE">
            <w:pPr>
              <w:rPr>
                <w:color w:val="000000"/>
                <w:sz w:val="22"/>
                <w:szCs w:val="22"/>
              </w:rPr>
            </w:pPr>
            <w:r w:rsidRPr="00D3458A">
              <w:rPr>
                <w:color w:val="000000"/>
                <w:sz w:val="22"/>
                <w:szCs w:val="22"/>
              </w:rPr>
              <w:t> </w:t>
            </w:r>
          </w:p>
        </w:tc>
        <w:tc>
          <w:tcPr>
            <w:tcW w:w="2366" w:type="dxa"/>
            <w:tcBorders>
              <w:top w:val="single" w:sz="4" w:space="0" w:color="auto"/>
              <w:left w:val="nil"/>
              <w:bottom w:val="double" w:sz="6" w:space="0" w:color="auto"/>
              <w:right w:val="single" w:sz="12" w:space="0" w:color="auto"/>
            </w:tcBorders>
            <w:shd w:val="clear" w:color="auto" w:fill="auto"/>
            <w:vAlign w:val="center"/>
            <w:hideMark/>
          </w:tcPr>
          <w:p w14:paraId="4F85B0C2" w14:textId="77777777" w:rsidR="00BA57FE" w:rsidRPr="00D3458A" w:rsidRDefault="00BA57FE" w:rsidP="00BA57FE">
            <w:pPr>
              <w:jc w:val="right"/>
              <w:rPr>
                <w:b/>
                <w:bCs/>
                <w:color w:val="000000"/>
                <w:sz w:val="22"/>
                <w:szCs w:val="22"/>
              </w:rPr>
            </w:pPr>
            <w:r w:rsidRPr="00BA57FE">
              <w:rPr>
                <w:b/>
                <w:bCs/>
                <w:color w:val="000000"/>
                <w:sz w:val="22"/>
                <w:szCs w:val="22"/>
              </w:rPr>
              <w:t>11.200,00</w:t>
            </w:r>
          </w:p>
        </w:tc>
        <w:tc>
          <w:tcPr>
            <w:tcW w:w="2268" w:type="dxa"/>
            <w:tcBorders>
              <w:top w:val="single" w:sz="4" w:space="0" w:color="auto"/>
              <w:left w:val="nil"/>
              <w:bottom w:val="double" w:sz="6" w:space="0" w:color="auto"/>
              <w:right w:val="single" w:sz="12" w:space="0" w:color="auto"/>
            </w:tcBorders>
            <w:shd w:val="clear" w:color="auto" w:fill="auto"/>
            <w:vAlign w:val="center"/>
            <w:hideMark/>
          </w:tcPr>
          <w:p w14:paraId="56DAE6BB" w14:textId="77777777" w:rsidR="00BA57FE" w:rsidRPr="00D3458A" w:rsidRDefault="00BA57FE" w:rsidP="00BA57FE">
            <w:pPr>
              <w:jc w:val="right"/>
              <w:rPr>
                <w:b/>
                <w:bCs/>
                <w:color w:val="000000"/>
                <w:sz w:val="22"/>
                <w:szCs w:val="22"/>
              </w:rPr>
            </w:pPr>
            <w:r>
              <w:rPr>
                <w:b/>
                <w:bCs/>
                <w:color w:val="000000"/>
                <w:sz w:val="22"/>
                <w:szCs w:val="22"/>
              </w:rPr>
              <w:t>3</w:t>
            </w:r>
            <w:r w:rsidRPr="00D3458A">
              <w:rPr>
                <w:b/>
                <w:bCs/>
                <w:color w:val="000000"/>
                <w:sz w:val="22"/>
                <w:szCs w:val="22"/>
                <w:lang w:val="en-US"/>
              </w:rPr>
              <w:t>0</w:t>
            </w:r>
            <w:r>
              <w:rPr>
                <w:b/>
                <w:bCs/>
                <w:color w:val="000000"/>
                <w:sz w:val="22"/>
                <w:szCs w:val="22"/>
              </w:rPr>
              <w:t>.4</w:t>
            </w:r>
            <w:r w:rsidRPr="00D3458A">
              <w:rPr>
                <w:b/>
                <w:bCs/>
                <w:color w:val="000000"/>
                <w:sz w:val="22"/>
                <w:szCs w:val="22"/>
              </w:rPr>
              <w:t>00,00</w:t>
            </w:r>
          </w:p>
        </w:tc>
      </w:tr>
      <w:tr w:rsidR="00BA57FE" w:rsidRPr="00D3458A" w14:paraId="1F5C9BDC" w14:textId="77777777" w:rsidTr="00757270">
        <w:trPr>
          <w:trHeight w:val="300"/>
        </w:trPr>
        <w:tc>
          <w:tcPr>
            <w:tcW w:w="5020" w:type="dxa"/>
            <w:tcBorders>
              <w:top w:val="nil"/>
              <w:left w:val="single" w:sz="12" w:space="0" w:color="auto"/>
              <w:bottom w:val="nil"/>
              <w:right w:val="single" w:sz="12" w:space="0" w:color="auto"/>
            </w:tcBorders>
            <w:shd w:val="clear" w:color="auto" w:fill="auto"/>
            <w:vAlign w:val="center"/>
            <w:hideMark/>
          </w:tcPr>
          <w:p w14:paraId="71FDD445" w14:textId="77777777" w:rsidR="00BA57FE" w:rsidRPr="00D3458A" w:rsidRDefault="00BA57FE" w:rsidP="00BA57FE">
            <w:pPr>
              <w:rPr>
                <w:b/>
                <w:bCs/>
                <w:color w:val="000000"/>
                <w:sz w:val="22"/>
                <w:szCs w:val="22"/>
              </w:rPr>
            </w:pPr>
            <w:r w:rsidRPr="00D3458A">
              <w:rPr>
                <w:b/>
                <w:bCs/>
                <w:color w:val="000000"/>
                <w:sz w:val="22"/>
                <w:szCs w:val="22"/>
              </w:rPr>
              <w:t>Υπόλοιπα απαιτήσεων τέλους χρήσεως</w:t>
            </w:r>
          </w:p>
        </w:tc>
        <w:tc>
          <w:tcPr>
            <w:tcW w:w="2366" w:type="dxa"/>
            <w:tcBorders>
              <w:top w:val="nil"/>
              <w:left w:val="nil"/>
              <w:right w:val="single" w:sz="12" w:space="0" w:color="auto"/>
            </w:tcBorders>
            <w:shd w:val="clear" w:color="auto" w:fill="auto"/>
            <w:vAlign w:val="center"/>
            <w:hideMark/>
          </w:tcPr>
          <w:p w14:paraId="31C55D5E" w14:textId="77777777" w:rsidR="00BA57FE" w:rsidRPr="00D3458A" w:rsidRDefault="00BA57FE" w:rsidP="00BA57FE">
            <w:pPr>
              <w:jc w:val="right"/>
              <w:rPr>
                <w:b/>
                <w:bCs/>
                <w:color w:val="000000"/>
                <w:sz w:val="22"/>
                <w:szCs w:val="22"/>
              </w:rPr>
            </w:pPr>
            <w:r w:rsidRPr="00D3458A">
              <w:rPr>
                <w:b/>
                <w:bCs/>
                <w:color w:val="000000"/>
                <w:sz w:val="22"/>
                <w:szCs w:val="22"/>
              </w:rPr>
              <w:t> </w:t>
            </w:r>
          </w:p>
        </w:tc>
        <w:tc>
          <w:tcPr>
            <w:tcW w:w="2268" w:type="dxa"/>
            <w:tcBorders>
              <w:top w:val="nil"/>
              <w:left w:val="nil"/>
              <w:right w:val="single" w:sz="12" w:space="0" w:color="auto"/>
            </w:tcBorders>
            <w:shd w:val="clear" w:color="auto" w:fill="auto"/>
            <w:vAlign w:val="center"/>
            <w:hideMark/>
          </w:tcPr>
          <w:p w14:paraId="7B9BB430" w14:textId="77777777" w:rsidR="00BA57FE" w:rsidRPr="00D3458A" w:rsidRDefault="00BA57FE" w:rsidP="00BA57FE">
            <w:pPr>
              <w:jc w:val="right"/>
              <w:rPr>
                <w:b/>
                <w:bCs/>
                <w:color w:val="000000"/>
                <w:sz w:val="22"/>
                <w:szCs w:val="22"/>
              </w:rPr>
            </w:pPr>
            <w:r w:rsidRPr="00D3458A">
              <w:rPr>
                <w:b/>
                <w:bCs/>
                <w:color w:val="000000"/>
                <w:sz w:val="22"/>
                <w:szCs w:val="22"/>
              </w:rPr>
              <w:t> </w:t>
            </w:r>
          </w:p>
        </w:tc>
      </w:tr>
      <w:tr w:rsidR="00BA57FE" w:rsidRPr="00D3458A" w14:paraId="0E5DE9A0" w14:textId="77777777" w:rsidTr="00757270">
        <w:trPr>
          <w:trHeight w:val="300"/>
        </w:trPr>
        <w:tc>
          <w:tcPr>
            <w:tcW w:w="5020" w:type="dxa"/>
            <w:tcBorders>
              <w:top w:val="nil"/>
              <w:left w:val="single" w:sz="12" w:space="0" w:color="auto"/>
              <w:bottom w:val="nil"/>
              <w:right w:val="single" w:sz="12" w:space="0" w:color="auto"/>
            </w:tcBorders>
            <w:shd w:val="clear" w:color="auto" w:fill="auto"/>
            <w:vAlign w:val="center"/>
            <w:hideMark/>
          </w:tcPr>
          <w:p w14:paraId="3ED41BAB" w14:textId="77777777" w:rsidR="00BA57FE" w:rsidRPr="00D3458A" w:rsidRDefault="00BA57FE" w:rsidP="00BA57FE">
            <w:pPr>
              <w:rPr>
                <w:color w:val="000000"/>
                <w:sz w:val="22"/>
                <w:szCs w:val="22"/>
              </w:rPr>
            </w:pPr>
            <w:r w:rsidRPr="00D3458A">
              <w:rPr>
                <w:color w:val="000000"/>
                <w:sz w:val="22"/>
                <w:szCs w:val="22"/>
              </w:rPr>
              <w:t xml:space="preserve">Απαιτήσεις από πωλήσεις αγαθών και υπηρεσιών  </w:t>
            </w:r>
          </w:p>
        </w:tc>
        <w:tc>
          <w:tcPr>
            <w:tcW w:w="2366" w:type="dxa"/>
            <w:tcBorders>
              <w:top w:val="nil"/>
              <w:left w:val="nil"/>
              <w:bottom w:val="single" w:sz="4" w:space="0" w:color="auto"/>
              <w:right w:val="single" w:sz="12" w:space="0" w:color="auto"/>
            </w:tcBorders>
            <w:shd w:val="clear" w:color="auto" w:fill="auto"/>
            <w:vAlign w:val="center"/>
            <w:hideMark/>
          </w:tcPr>
          <w:p w14:paraId="6A36334E" w14:textId="77777777" w:rsidR="00BA57FE" w:rsidRPr="00D3458A" w:rsidRDefault="00BA57FE" w:rsidP="00BA57FE">
            <w:pPr>
              <w:jc w:val="right"/>
              <w:rPr>
                <w:color w:val="000000"/>
                <w:sz w:val="22"/>
                <w:szCs w:val="22"/>
              </w:rPr>
            </w:pPr>
            <w:r w:rsidRPr="00D3458A">
              <w:rPr>
                <w:color w:val="000000"/>
                <w:sz w:val="22"/>
                <w:szCs w:val="22"/>
              </w:rPr>
              <w:t>0,00</w:t>
            </w:r>
          </w:p>
        </w:tc>
        <w:tc>
          <w:tcPr>
            <w:tcW w:w="2268" w:type="dxa"/>
            <w:tcBorders>
              <w:top w:val="nil"/>
              <w:left w:val="nil"/>
              <w:bottom w:val="single" w:sz="4" w:space="0" w:color="auto"/>
              <w:right w:val="single" w:sz="12" w:space="0" w:color="auto"/>
            </w:tcBorders>
            <w:shd w:val="clear" w:color="auto" w:fill="auto"/>
            <w:vAlign w:val="center"/>
            <w:hideMark/>
          </w:tcPr>
          <w:p w14:paraId="3C5B1C6A" w14:textId="77777777" w:rsidR="00BA57FE" w:rsidRPr="00D3458A" w:rsidRDefault="00BA57FE" w:rsidP="00BA57FE">
            <w:pPr>
              <w:jc w:val="right"/>
              <w:rPr>
                <w:color w:val="000000"/>
                <w:sz w:val="22"/>
                <w:szCs w:val="22"/>
              </w:rPr>
            </w:pPr>
            <w:r w:rsidRPr="00D3458A">
              <w:rPr>
                <w:color w:val="000000"/>
                <w:sz w:val="22"/>
                <w:szCs w:val="22"/>
              </w:rPr>
              <w:t>0,00</w:t>
            </w:r>
          </w:p>
        </w:tc>
      </w:tr>
      <w:tr w:rsidR="00BA57FE" w:rsidRPr="00D3458A" w14:paraId="23C91BA2" w14:textId="77777777" w:rsidTr="00757270">
        <w:trPr>
          <w:trHeight w:val="315"/>
        </w:trPr>
        <w:tc>
          <w:tcPr>
            <w:tcW w:w="5020" w:type="dxa"/>
            <w:tcBorders>
              <w:top w:val="nil"/>
              <w:left w:val="single" w:sz="12" w:space="0" w:color="auto"/>
              <w:bottom w:val="nil"/>
              <w:right w:val="single" w:sz="12" w:space="0" w:color="auto"/>
            </w:tcBorders>
            <w:shd w:val="clear" w:color="auto" w:fill="auto"/>
            <w:vAlign w:val="center"/>
            <w:hideMark/>
          </w:tcPr>
          <w:p w14:paraId="43D84DCE" w14:textId="77777777" w:rsidR="00BA57FE" w:rsidRPr="00D3458A" w:rsidRDefault="00BA57FE" w:rsidP="00BA57FE">
            <w:pPr>
              <w:rPr>
                <w:color w:val="000000"/>
                <w:sz w:val="22"/>
                <w:szCs w:val="22"/>
              </w:rPr>
            </w:pPr>
            <w:r w:rsidRPr="00D3458A">
              <w:rPr>
                <w:color w:val="000000"/>
                <w:sz w:val="22"/>
                <w:szCs w:val="22"/>
              </w:rPr>
              <w:t> </w:t>
            </w:r>
          </w:p>
        </w:tc>
        <w:tc>
          <w:tcPr>
            <w:tcW w:w="2366" w:type="dxa"/>
            <w:tcBorders>
              <w:top w:val="single" w:sz="4" w:space="0" w:color="auto"/>
              <w:left w:val="nil"/>
              <w:bottom w:val="double" w:sz="6" w:space="0" w:color="auto"/>
              <w:right w:val="single" w:sz="12" w:space="0" w:color="auto"/>
            </w:tcBorders>
            <w:shd w:val="clear" w:color="auto" w:fill="auto"/>
            <w:vAlign w:val="center"/>
            <w:hideMark/>
          </w:tcPr>
          <w:p w14:paraId="5C2DB7E5" w14:textId="77777777" w:rsidR="00BA57FE" w:rsidRPr="00D3458A" w:rsidRDefault="00BA57FE" w:rsidP="00BA57FE">
            <w:pPr>
              <w:jc w:val="right"/>
              <w:rPr>
                <w:b/>
                <w:bCs/>
                <w:color w:val="000000"/>
                <w:sz w:val="22"/>
                <w:szCs w:val="22"/>
              </w:rPr>
            </w:pPr>
            <w:r w:rsidRPr="00D3458A">
              <w:rPr>
                <w:b/>
                <w:bCs/>
                <w:color w:val="000000"/>
                <w:sz w:val="22"/>
                <w:szCs w:val="22"/>
              </w:rPr>
              <w:t>0,00</w:t>
            </w:r>
          </w:p>
        </w:tc>
        <w:tc>
          <w:tcPr>
            <w:tcW w:w="2268" w:type="dxa"/>
            <w:tcBorders>
              <w:top w:val="single" w:sz="4" w:space="0" w:color="auto"/>
              <w:left w:val="nil"/>
              <w:bottom w:val="double" w:sz="6" w:space="0" w:color="auto"/>
              <w:right w:val="single" w:sz="12" w:space="0" w:color="auto"/>
            </w:tcBorders>
            <w:shd w:val="clear" w:color="auto" w:fill="auto"/>
            <w:vAlign w:val="center"/>
            <w:hideMark/>
          </w:tcPr>
          <w:p w14:paraId="60F4A0C9" w14:textId="77777777" w:rsidR="00BA57FE" w:rsidRPr="00D3458A" w:rsidRDefault="00BA57FE" w:rsidP="00BA57FE">
            <w:pPr>
              <w:jc w:val="right"/>
              <w:rPr>
                <w:b/>
                <w:bCs/>
                <w:color w:val="000000"/>
                <w:sz w:val="22"/>
                <w:szCs w:val="22"/>
              </w:rPr>
            </w:pPr>
            <w:r w:rsidRPr="00D3458A">
              <w:rPr>
                <w:b/>
                <w:bCs/>
                <w:color w:val="000000"/>
                <w:sz w:val="22"/>
                <w:szCs w:val="22"/>
              </w:rPr>
              <w:t>0,00</w:t>
            </w:r>
          </w:p>
        </w:tc>
      </w:tr>
      <w:tr w:rsidR="00BA57FE" w:rsidRPr="00D3458A" w14:paraId="5F46FEB3" w14:textId="77777777" w:rsidTr="00757270">
        <w:trPr>
          <w:trHeight w:val="315"/>
        </w:trPr>
        <w:tc>
          <w:tcPr>
            <w:tcW w:w="5020" w:type="dxa"/>
            <w:tcBorders>
              <w:top w:val="nil"/>
              <w:left w:val="single" w:sz="12" w:space="0" w:color="auto"/>
              <w:bottom w:val="nil"/>
              <w:right w:val="single" w:sz="12" w:space="0" w:color="auto"/>
            </w:tcBorders>
            <w:shd w:val="clear" w:color="auto" w:fill="auto"/>
            <w:vAlign w:val="center"/>
            <w:hideMark/>
          </w:tcPr>
          <w:p w14:paraId="7535DCCE" w14:textId="77777777" w:rsidR="00BA57FE" w:rsidRPr="00D3458A" w:rsidRDefault="00BA57FE" w:rsidP="00BA57FE">
            <w:pPr>
              <w:rPr>
                <w:b/>
                <w:bCs/>
                <w:color w:val="000000"/>
                <w:sz w:val="22"/>
                <w:szCs w:val="22"/>
              </w:rPr>
            </w:pPr>
            <w:r w:rsidRPr="00D3458A">
              <w:rPr>
                <w:b/>
                <w:bCs/>
                <w:color w:val="000000"/>
                <w:sz w:val="22"/>
                <w:szCs w:val="22"/>
              </w:rPr>
              <w:t>Υπόλοιπα υποχρεώσεων τέλους χρήσεως</w:t>
            </w:r>
          </w:p>
        </w:tc>
        <w:tc>
          <w:tcPr>
            <w:tcW w:w="2366" w:type="dxa"/>
            <w:tcBorders>
              <w:top w:val="nil"/>
              <w:left w:val="nil"/>
              <w:bottom w:val="nil"/>
              <w:right w:val="single" w:sz="12" w:space="0" w:color="auto"/>
            </w:tcBorders>
            <w:shd w:val="clear" w:color="auto" w:fill="auto"/>
            <w:vAlign w:val="center"/>
            <w:hideMark/>
          </w:tcPr>
          <w:p w14:paraId="2E64CB90" w14:textId="77777777" w:rsidR="00BA57FE" w:rsidRPr="00D3458A" w:rsidRDefault="00BA57FE" w:rsidP="00BA57FE">
            <w:pPr>
              <w:jc w:val="right"/>
              <w:rPr>
                <w:color w:val="000000"/>
                <w:sz w:val="22"/>
                <w:szCs w:val="22"/>
              </w:rPr>
            </w:pPr>
            <w:r w:rsidRPr="00D3458A">
              <w:rPr>
                <w:color w:val="000000"/>
                <w:sz w:val="22"/>
                <w:szCs w:val="22"/>
              </w:rPr>
              <w:t> </w:t>
            </w:r>
          </w:p>
        </w:tc>
        <w:tc>
          <w:tcPr>
            <w:tcW w:w="2268" w:type="dxa"/>
            <w:tcBorders>
              <w:top w:val="nil"/>
              <w:left w:val="nil"/>
              <w:bottom w:val="nil"/>
              <w:right w:val="single" w:sz="12" w:space="0" w:color="auto"/>
            </w:tcBorders>
            <w:shd w:val="clear" w:color="auto" w:fill="auto"/>
            <w:vAlign w:val="center"/>
            <w:hideMark/>
          </w:tcPr>
          <w:p w14:paraId="6BE22F8C" w14:textId="77777777" w:rsidR="00BA57FE" w:rsidRPr="00D3458A" w:rsidRDefault="00BA57FE" w:rsidP="00BA57FE">
            <w:pPr>
              <w:jc w:val="right"/>
              <w:rPr>
                <w:color w:val="000000"/>
                <w:sz w:val="22"/>
                <w:szCs w:val="22"/>
              </w:rPr>
            </w:pPr>
            <w:r w:rsidRPr="00D3458A">
              <w:rPr>
                <w:color w:val="000000"/>
                <w:sz w:val="22"/>
                <w:szCs w:val="22"/>
              </w:rPr>
              <w:t> </w:t>
            </w:r>
          </w:p>
        </w:tc>
      </w:tr>
      <w:tr w:rsidR="00BA57FE" w:rsidRPr="00D3458A" w14:paraId="01CB6387" w14:textId="77777777" w:rsidTr="00757270">
        <w:trPr>
          <w:trHeight w:val="315"/>
        </w:trPr>
        <w:tc>
          <w:tcPr>
            <w:tcW w:w="5020" w:type="dxa"/>
            <w:tcBorders>
              <w:top w:val="nil"/>
              <w:left w:val="single" w:sz="12" w:space="0" w:color="auto"/>
              <w:bottom w:val="nil"/>
              <w:right w:val="single" w:sz="12" w:space="0" w:color="auto"/>
            </w:tcBorders>
            <w:shd w:val="clear" w:color="auto" w:fill="auto"/>
            <w:vAlign w:val="center"/>
            <w:hideMark/>
          </w:tcPr>
          <w:p w14:paraId="41A60825" w14:textId="77777777" w:rsidR="00BA57FE" w:rsidRPr="00D3458A" w:rsidRDefault="00BA57FE" w:rsidP="00BA57FE">
            <w:pPr>
              <w:rPr>
                <w:color w:val="000000"/>
                <w:sz w:val="22"/>
                <w:szCs w:val="22"/>
              </w:rPr>
            </w:pPr>
            <w:r w:rsidRPr="00D3458A">
              <w:rPr>
                <w:color w:val="000000"/>
                <w:sz w:val="22"/>
                <w:szCs w:val="22"/>
              </w:rPr>
              <w:t>Λοιπές υποχρεώσεις</w:t>
            </w:r>
          </w:p>
        </w:tc>
        <w:tc>
          <w:tcPr>
            <w:tcW w:w="2366" w:type="dxa"/>
            <w:tcBorders>
              <w:top w:val="nil"/>
              <w:left w:val="nil"/>
              <w:bottom w:val="single" w:sz="8" w:space="0" w:color="auto"/>
              <w:right w:val="single" w:sz="12" w:space="0" w:color="auto"/>
            </w:tcBorders>
            <w:shd w:val="clear" w:color="auto" w:fill="auto"/>
            <w:vAlign w:val="center"/>
            <w:hideMark/>
          </w:tcPr>
          <w:p w14:paraId="19935B98" w14:textId="77777777" w:rsidR="00BA57FE" w:rsidRPr="00D3458A" w:rsidRDefault="00BA57FE" w:rsidP="00BA57FE">
            <w:pPr>
              <w:jc w:val="right"/>
              <w:rPr>
                <w:color w:val="000000"/>
                <w:sz w:val="22"/>
                <w:szCs w:val="22"/>
              </w:rPr>
            </w:pPr>
            <w:r w:rsidRPr="00D3458A">
              <w:rPr>
                <w:color w:val="000000"/>
                <w:sz w:val="22"/>
                <w:szCs w:val="22"/>
              </w:rPr>
              <w:t>602.675,00</w:t>
            </w:r>
          </w:p>
        </w:tc>
        <w:tc>
          <w:tcPr>
            <w:tcW w:w="2268" w:type="dxa"/>
            <w:tcBorders>
              <w:top w:val="nil"/>
              <w:left w:val="nil"/>
              <w:bottom w:val="single" w:sz="8" w:space="0" w:color="auto"/>
              <w:right w:val="single" w:sz="12" w:space="0" w:color="auto"/>
            </w:tcBorders>
            <w:shd w:val="clear" w:color="auto" w:fill="auto"/>
            <w:vAlign w:val="center"/>
            <w:hideMark/>
          </w:tcPr>
          <w:p w14:paraId="452D9C20" w14:textId="77777777" w:rsidR="00BA57FE" w:rsidRPr="00D3458A" w:rsidRDefault="00BA57FE" w:rsidP="00BA57FE">
            <w:pPr>
              <w:jc w:val="right"/>
              <w:rPr>
                <w:color w:val="000000"/>
                <w:sz w:val="22"/>
                <w:szCs w:val="22"/>
              </w:rPr>
            </w:pPr>
            <w:r w:rsidRPr="00D3458A">
              <w:rPr>
                <w:color w:val="000000"/>
                <w:sz w:val="22"/>
                <w:szCs w:val="22"/>
              </w:rPr>
              <w:t>602.675,00</w:t>
            </w:r>
          </w:p>
        </w:tc>
      </w:tr>
      <w:tr w:rsidR="00BA57FE" w:rsidRPr="00A131AE" w14:paraId="3858C9F2" w14:textId="77777777" w:rsidTr="00757270">
        <w:trPr>
          <w:trHeight w:val="315"/>
        </w:trPr>
        <w:tc>
          <w:tcPr>
            <w:tcW w:w="5020" w:type="dxa"/>
            <w:tcBorders>
              <w:top w:val="nil"/>
              <w:left w:val="single" w:sz="12" w:space="0" w:color="auto"/>
              <w:bottom w:val="single" w:sz="12" w:space="0" w:color="auto"/>
              <w:right w:val="single" w:sz="12" w:space="0" w:color="auto"/>
            </w:tcBorders>
            <w:shd w:val="clear" w:color="auto" w:fill="auto"/>
            <w:vAlign w:val="center"/>
            <w:hideMark/>
          </w:tcPr>
          <w:p w14:paraId="72B5D4BB" w14:textId="77777777" w:rsidR="00BA57FE" w:rsidRPr="00D3458A" w:rsidRDefault="00BA57FE" w:rsidP="00BA57FE">
            <w:pPr>
              <w:rPr>
                <w:color w:val="000000"/>
                <w:sz w:val="22"/>
                <w:szCs w:val="22"/>
              </w:rPr>
            </w:pPr>
            <w:r w:rsidRPr="00D3458A">
              <w:rPr>
                <w:color w:val="000000"/>
                <w:sz w:val="22"/>
                <w:szCs w:val="22"/>
              </w:rPr>
              <w:t> </w:t>
            </w:r>
          </w:p>
        </w:tc>
        <w:tc>
          <w:tcPr>
            <w:tcW w:w="2366" w:type="dxa"/>
            <w:tcBorders>
              <w:top w:val="nil"/>
              <w:left w:val="nil"/>
              <w:bottom w:val="double" w:sz="6" w:space="0" w:color="auto"/>
              <w:right w:val="single" w:sz="12" w:space="0" w:color="auto"/>
            </w:tcBorders>
            <w:shd w:val="clear" w:color="auto" w:fill="auto"/>
            <w:vAlign w:val="center"/>
            <w:hideMark/>
          </w:tcPr>
          <w:p w14:paraId="44AF0DF6" w14:textId="77777777" w:rsidR="00BA57FE" w:rsidRPr="00D3458A" w:rsidRDefault="00BA57FE" w:rsidP="00BA57FE">
            <w:pPr>
              <w:jc w:val="right"/>
              <w:rPr>
                <w:b/>
                <w:bCs/>
                <w:color w:val="000000"/>
                <w:sz w:val="22"/>
                <w:szCs w:val="22"/>
              </w:rPr>
            </w:pPr>
            <w:r w:rsidRPr="00D3458A">
              <w:rPr>
                <w:b/>
                <w:bCs/>
                <w:color w:val="000000"/>
                <w:sz w:val="22"/>
                <w:szCs w:val="22"/>
              </w:rPr>
              <w:t>602.675,00</w:t>
            </w:r>
          </w:p>
        </w:tc>
        <w:tc>
          <w:tcPr>
            <w:tcW w:w="2268" w:type="dxa"/>
            <w:tcBorders>
              <w:top w:val="nil"/>
              <w:left w:val="nil"/>
              <w:bottom w:val="double" w:sz="6" w:space="0" w:color="auto"/>
              <w:right w:val="single" w:sz="12" w:space="0" w:color="auto"/>
            </w:tcBorders>
            <w:shd w:val="clear" w:color="auto" w:fill="auto"/>
            <w:vAlign w:val="center"/>
            <w:hideMark/>
          </w:tcPr>
          <w:p w14:paraId="0AB762DF" w14:textId="77777777" w:rsidR="00BA57FE" w:rsidRPr="00D3458A" w:rsidRDefault="00BA57FE" w:rsidP="00BA57FE">
            <w:pPr>
              <w:jc w:val="right"/>
              <w:rPr>
                <w:b/>
                <w:bCs/>
                <w:color w:val="000000"/>
                <w:sz w:val="22"/>
                <w:szCs w:val="22"/>
              </w:rPr>
            </w:pPr>
            <w:r w:rsidRPr="00D3458A">
              <w:rPr>
                <w:b/>
                <w:bCs/>
                <w:color w:val="000000"/>
                <w:sz w:val="22"/>
                <w:szCs w:val="22"/>
              </w:rPr>
              <w:t>602.675,00</w:t>
            </w:r>
          </w:p>
        </w:tc>
      </w:tr>
    </w:tbl>
    <w:p w14:paraId="414826F3" w14:textId="77777777" w:rsidR="00F33C01" w:rsidRPr="00A131AE" w:rsidRDefault="00F33C01" w:rsidP="00064B23">
      <w:pPr>
        <w:pStyle w:val="a8"/>
        <w:rPr>
          <w:highlight w:val="yellow"/>
        </w:rPr>
      </w:pPr>
    </w:p>
    <w:p w14:paraId="080B108C" w14:textId="77777777" w:rsidR="00F33C01" w:rsidRPr="00A131AE" w:rsidRDefault="00F33C01" w:rsidP="003554D4">
      <w:pPr>
        <w:pStyle w:val="a8"/>
        <w:rPr>
          <w:highlight w:val="yellow"/>
        </w:rPr>
      </w:pPr>
    </w:p>
    <w:p w14:paraId="2B867D4A" w14:textId="77777777" w:rsidR="00F83FE4" w:rsidRPr="00D3458A" w:rsidRDefault="009E738C" w:rsidP="003554D4">
      <w:pPr>
        <w:pStyle w:val="1"/>
        <w:jc w:val="left"/>
      </w:pPr>
      <w:bookmarkStart w:id="68" w:name="_Toc488058557"/>
      <w:bookmarkStart w:id="69" w:name="_Toc15546018"/>
      <w:r w:rsidRPr="00D3458A">
        <w:rPr>
          <w:lang w:val="el-GR"/>
        </w:rPr>
        <w:t>25</w:t>
      </w:r>
      <w:r w:rsidR="00FF2F42" w:rsidRPr="00D3458A">
        <w:t>. Χ</w:t>
      </w:r>
      <w:r w:rsidR="00F83FE4" w:rsidRPr="00D3458A">
        <w:t>ρήση της επιλογής της παραγράφου 7 ή της παραγράφου 8 του άρθρου 16 του νόμου</w:t>
      </w:r>
      <w:bookmarkEnd w:id="68"/>
      <w:bookmarkEnd w:id="69"/>
    </w:p>
    <w:p w14:paraId="61813CB9" w14:textId="77777777" w:rsidR="00064B23" w:rsidRPr="00D3458A" w:rsidRDefault="00064B23" w:rsidP="003554D4">
      <w:pPr>
        <w:rPr>
          <w:sz w:val="16"/>
          <w:szCs w:val="16"/>
          <w:lang w:eastAsia="en-US"/>
        </w:rPr>
      </w:pPr>
    </w:p>
    <w:p w14:paraId="360371EE" w14:textId="77777777" w:rsidR="00A0392A" w:rsidRPr="00D3458A" w:rsidRDefault="00A0392A" w:rsidP="003554D4">
      <w:pPr>
        <w:shd w:val="clear" w:color="auto" w:fill="FFFFFF"/>
        <w:spacing w:after="200"/>
        <w:ind w:left="5" w:right="14" w:firstLine="562"/>
        <w:jc w:val="both"/>
        <w:rPr>
          <w:sz w:val="22"/>
          <w:szCs w:val="22"/>
        </w:rPr>
      </w:pPr>
      <w:r w:rsidRPr="00D3458A">
        <w:rPr>
          <w:sz w:val="22"/>
          <w:szCs w:val="22"/>
        </w:rPr>
        <w:t>Η Ε</w:t>
      </w:r>
      <w:r w:rsidR="00FF2F42" w:rsidRPr="00D3458A">
        <w:rPr>
          <w:sz w:val="22"/>
          <w:szCs w:val="22"/>
        </w:rPr>
        <w:t>ταιρεία ανήκει στην κατη</w:t>
      </w:r>
      <w:r w:rsidR="001832CD" w:rsidRPr="00D3458A">
        <w:rPr>
          <w:sz w:val="22"/>
          <w:szCs w:val="22"/>
        </w:rPr>
        <w:t>γορία των πολύ μικρών οντοτήτων, ωστόσο δεν</w:t>
      </w:r>
      <w:r w:rsidR="00FF2F42" w:rsidRPr="00D3458A">
        <w:rPr>
          <w:sz w:val="22"/>
          <w:szCs w:val="22"/>
        </w:rPr>
        <w:t xml:space="preserve"> επ</w:t>
      </w:r>
      <w:r w:rsidRPr="00D3458A">
        <w:rPr>
          <w:sz w:val="22"/>
          <w:szCs w:val="22"/>
        </w:rPr>
        <w:t>έλεξε να καταρτίσει συνοπτικό ισολογισμό και συνοπτική κατάσταση αποτελεσμάτων.</w:t>
      </w:r>
    </w:p>
    <w:p w14:paraId="3D368071" w14:textId="77777777" w:rsidR="003506D2" w:rsidRPr="00D3458A" w:rsidRDefault="003506D2" w:rsidP="003554D4">
      <w:pPr>
        <w:shd w:val="clear" w:color="auto" w:fill="FFFFFF"/>
        <w:spacing w:after="200"/>
        <w:ind w:left="5" w:right="14" w:firstLine="562"/>
        <w:jc w:val="both"/>
        <w:rPr>
          <w:sz w:val="22"/>
          <w:szCs w:val="22"/>
        </w:rPr>
      </w:pPr>
    </w:p>
    <w:p w14:paraId="6EEA45BE" w14:textId="77777777" w:rsidR="001F2B44" w:rsidRPr="00D3458A" w:rsidRDefault="009E738C" w:rsidP="003554D4">
      <w:pPr>
        <w:pStyle w:val="1"/>
        <w:jc w:val="left"/>
      </w:pPr>
      <w:bookmarkStart w:id="70" w:name="_Toc488058558"/>
      <w:bookmarkStart w:id="71" w:name="_Toc15546019"/>
      <w:r w:rsidRPr="00D3458A">
        <w:rPr>
          <w:lang w:val="el-GR"/>
        </w:rPr>
        <w:t>26</w:t>
      </w:r>
      <w:r w:rsidR="001F2B44" w:rsidRPr="00D3458A">
        <w:t>. Διακανονισμοί (συμφωνίες) που δεν εμφανίζονται στον ισολογισμό με σημαντικές θετικές ή αρνητικές επιπτώσεις επί της εταιρείας</w:t>
      </w:r>
      <w:bookmarkEnd w:id="70"/>
      <w:bookmarkEnd w:id="71"/>
    </w:p>
    <w:p w14:paraId="2C8269EF" w14:textId="77777777" w:rsidR="00064B23" w:rsidRPr="00D3458A" w:rsidRDefault="00064B23" w:rsidP="003554D4">
      <w:pPr>
        <w:rPr>
          <w:sz w:val="16"/>
          <w:szCs w:val="16"/>
          <w:lang w:eastAsia="en-US"/>
        </w:rPr>
      </w:pPr>
    </w:p>
    <w:p w14:paraId="2226BC7C" w14:textId="77777777" w:rsidR="001F2B44" w:rsidRPr="00D3458A" w:rsidRDefault="001F2B44" w:rsidP="003554D4">
      <w:pPr>
        <w:shd w:val="clear" w:color="auto" w:fill="FFFFFF"/>
        <w:spacing w:after="200"/>
        <w:ind w:left="5" w:right="14" w:firstLine="562"/>
        <w:jc w:val="both"/>
        <w:rPr>
          <w:sz w:val="22"/>
          <w:szCs w:val="22"/>
        </w:rPr>
      </w:pPr>
      <w:r w:rsidRPr="00D3458A">
        <w:rPr>
          <w:sz w:val="22"/>
          <w:szCs w:val="22"/>
        </w:rPr>
        <w:t xml:space="preserve">Δεν υφίστανται τέτοιοι διακανονισμοί. </w:t>
      </w:r>
    </w:p>
    <w:p w14:paraId="43199F8A" w14:textId="77777777" w:rsidR="003506D2" w:rsidRPr="00A131AE" w:rsidRDefault="003506D2" w:rsidP="003554D4">
      <w:pPr>
        <w:shd w:val="clear" w:color="auto" w:fill="FFFFFF"/>
        <w:spacing w:after="200"/>
        <w:ind w:left="5" w:right="14" w:firstLine="562"/>
        <w:jc w:val="both"/>
        <w:rPr>
          <w:sz w:val="22"/>
          <w:szCs w:val="22"/>
          <w:highlight w:val="yellow"/>
        </w:rPr>
      </w:pPr>
    </w:p>
    <w:p w14:paraId="490A3757" w14:textId="77777777" w:rsidR="001F2B44" w:rsidRPr="00D3458A" w:rsidRDefault="009E738C" w:rsidP="003554D4">
      <w:pPr>
        <w:pStyle w:val="1"/>
        <w:jc w:val="left"/>
      </w:pPr>
      <w:bookmarkStart w:id="72" w:name="_Toc488058559"/>
      <w:bookmarkStart w:id="73" w:name="_Toc15546020"/>
      <w:r w:rsidRPr="00D3458A">
        <w:rPr>
          <w:lang w:val="el-GR"/>
        </w:rPr>
        <w:lastRenderedPageBreak/>
        <w:t>27</w:t>
      </w:r>
      <w:r w:rsidR="001F2B44" w:rsidRPr="00D3458A">
        <w:t>. Χρηματοοικονομικές δεσμεύσεις, εγγυήσεις, και ενδεχόμενες υποχρεώσεις που δεν εμφανίζονται στον ισολογισμό</w:t>
      </w:r>
      <w:bookmarkEnd w:id="72"/>
      <w:bookmarkEnd w:id="73"/>
    </w:p>
    <w:p w14:paraId="27F9E604" w14:textId="77777777" w:rsidR="00064B23" w:rsidRPr="00D3458A" w:rsidRDefault="00064B23" w:rsidP="003554D4">
      <w:pPr>
        <w:rPr>
          <w:sz w:val="16"/>
          <w:szCs w:val="16"/>
          <w:lang w:eastAsia="en-US"/>
        </w:rPr>
      </w:pPr>
    </w:p>
    <w:p w14:paraId="38F9E006" w14:textId="77777777" w:rsidR="001F2B44" w:rsidRPr="00D3458A" w:rsidRDefault="001F2B44" w:rsidP="003554D4">
      <w:pPr>
        <w:shd w:val="clear" w:color="auto" w:fill="FFFFFF"/>
        <w:spacing w:after="200"/>
        <w:ind w:left="5" w:right="14" w:firstLine="562"/>
        <w:jc w:val="both"/>
        <w:rPr>
          <w:b/>
          <w:sz w:val="22"/>
          <w:szCs w:val="22"/>
        </w:rPr>
      </w:pPr>
      <w:r w:rsidRPr="00D3458A">
        <w:rPr>
          <w:b/>
          <w:sz w:val="22"/>
          <w:szCs w:val="22"/>
        </w:rPr>
        <w:t>α) Χρηματοοικονομικές δεσμεύσεις</w:t>
      </w:r>
    </w:p>
    <w:p w14:paraId="65142556" w14:textId="77777777" w:rsidR="001F2B44" w:rsidRPr="00D3458A" w:rsidRDefault="001F2B44" w:rsidP="003554D4">
      <w:pPr>
        <w:shd w:val="clear" w:color="auto" w:fill="FFFFFF"/>
        <w:spacing w:after="200"/>
        <w:ind w:left="5" w:right="14" w:firstLine="562"/>
        <w:jc w:val="both"/>
        <w:rPr>
          <w:sz w:val="22"/>
          <w:szCs w:val="22"/>
        </w:rPr>
      </w:pPr>
      <w:r w:rsidRPr="00D3458A">
        <w:rPr>
          <w:sz w:val="22"/>
          <w:szCs w:val="22"/>
        </w:rPr>
        <w:t>Η Εταιρεία</w:t>
      </w:r>
      <w:r w:rsidR="00EA51F2" w:rsidRPr="00D3458A">
        <w:rPr>
          <w:sz w:val="22"/>
          <w:szCs w:val="22"/>
        </w:rPr>
        <w:t xml:space="preserve"> δεν</w:t>
      </w:r>
      <w:r w:rsidRPr="00D3458A">
        <w:rPr>
          <w:sz w:val="22"/>
          <w:szCs w:val="22"/>
        </w:rPr>
        <w:t xml:space="preserve"> έχει συνάψει μη ακυρώσιμες συμβάσεις λειτουργικών μισθώσεων </w:t>
      </w:r>
      <w:r w:rsidR="00B21CDE" w:rsidRPr="00D3458A">
        <w:rPr>
          <w:sz w:val="22"/>
          <w:szCs w:val="22"/>
        </w:rPr>
        <w:t>διάρκειας μεγαλύτερης του ενός έτους</w:t>
      </w:r>
      <w:r w:rsidRPr="00D3458A">
        <w:rPr>
          <w:sz w:val="22"/>
          <w:szCs w:val="22"/>
        </w:rPr>
        <w:t xml:space="preserve">. </w:t>
      </w:r>
    </w:p>
    <w:p w14:paraId="50E9484E" w14:textId="77777777" w:rsidR="001F2B44" w:rsidRPr="00D3458A" w:rsidRDefault="001F2B44" w:rsidP="00B82D0D">
      <w:pPr>
        <w:shd w:val="clear" w:color="auto" w:fill="FFFFFF"/>
        <w:spacing w:after="200" w:line="276" w:lineRule="auto"/>
        <w:ind w:left="5" w:right="14" w:firstLine="562"/>
        <w:jc w:val="both"/>
        <w:rPr>
          <w:b/>
          <w:sz w:val="22"/>
          <w:szCs w:val="22"/>
        </w:rPr>
      </w:pPr>
      <w:r w:rsidRPr="00D3458A">
        <w:rPr>
          <w:b/>
          <w:sz w:val="22"/>
          <w:szCs w:val="22"/>
        </w:rPr>
        <w:t xml:space="preserve">β) Εγγυήσεις </w:t>
      </w:r>
    </w:p>
    <w:p w14:paraId="2087C00A" w14:textId="77777777" w:rsidR="001F2B44" w:rsidRPr="00A131AE" w:rsidRDefault="001F2B44" w:rsidP="00BA57FE">
      <w:pPr>
        <w:shd w:val="clear" w:color="auto" w:fill="FFFFFF"/>
        <w:spacing w:after="200" w:line="276" w:lineRule="auto"/>
        <w:ind w:left="5" w:right="14" w:firstLine="562"/>
        <w:jc w:val="both"/>
        <w:rPr>
          <w:highlight w:val="yellow"/>
        </w:rPr>
      </w:pPr>
      <w:r w:rsidRPr="00D3458A">
        <w:rPr>
          <w:sz w:val="22"/>
          <w:szCs w:val="22"/>
        </w:rPr>
        <w:t xml:space="preserve">Η Εταιρεία </w:t>
      </w:r>
      <w:r w:rsidR="00BA57FE">
        <w:rPr>
          <w:sz w:val="22"/>
          <w:szCs w:val="22"/>
        </w:rPr>
        <w:t xml:space="preserve">δεν </w:t>
      </w:r>
      <w:r w:rsidRPr="00D3458A">
        <w:rPr>
          <w:sz w:val="22"/>
          <w:szCs w:val="22"/>
        </w:rPr>
        <w:t>έχει χορηγήσει εγγυητικές επιστολές</w:t>
      </w:r>
      <w:r w:rsidR="00BA57FE">
        <w:rPr>
          <w:sz w:val="22"/>
          <w:szCs w:val="22"/>
        </w:rPr>
        <w:t>.</w:t>
      </w:r>
    </w:p>
    <w:p w14:paraId="12DF0219" w14:textId="77777777" w:rsidR="001F2B44" w:rsidRPr="00BF22ED" w:rsidRDefault="001F2B44" w:rsidP="00B82D0D">
      <w:pPr>
        <w:shd w:val="clear" w:color="auto" w:fill="FFFFFF"/>
        <w:spacing w:after="200" w:line="276" w:lineRule="auto"/>
        <w:ind w:left="5" w:right="14" w:firstLine="562"/>
        <w:jc w:val="both"/>
        <w:rPr>
          <w:b/>
          <w:sz w:val="22"/>
          <w:szCs w:val="22"/>
        </w:rPr>
      </w:pPr>
      <w:r w:rsidRPr="00BF22ED">
        <w:rPr>
          <w:b/>
          <w:sz w:val="22"/>
          <w:szCs w:val="22"/>
        </w:rPr>
        <w:t xml:space="preserve">γ) Ενδεχόμενες υποχρεώσεις </w:t>
      </w:r>
    </w:p>
    <w:p w14:paraId="106030FB" w14:textId="77777777" w:rsidR="00190591" w:rsidRPr="00BF22ED" w:rsidRDefault="00E71A9C" w:rsidP="00190591">
      <w:pPr>
        <w:shd w:val="clear" w:color="auto" w:fill="FFFFFF"/>
        <w:spacing w:after="200" w:line="276" w:lineRule="auto"/>
        <w:ind w:left="5" w:right="14" w:firstLine="562"/>
        <w:jc w:val="both"/>
        <w:rPr>
          <w:sz w:val="22"/>
          <w:szCs w:val="22"/>
        </w:rPr>
      </w:pPr>
      <w:r w:rsidRPr="00E71A9C">
        <w:rPr>
          <w:sz w:val="22"/>
          <w:szCs w:val="22"/>
        </w:rPr>
        <w:t>Οι φορολογικές υποχρεώσεις της εταιρείας δεν έχουν εξεταστεί από τις φορολο</w:t>
      </w:r>
      <w:r w:rsidR="00546F3F">
        <w:rPr>
          <w:sz w:val="22"/>
          <w:szCs w:val="22"/>
        </w:rPr>
        <w:t>γικές αρχές για τις χρήσεις 2015</w:t>
      </w:r>
      <w:r w:rsidRPr="00E71A9C">
        <w:rPr>
          <w:sz w:val="22"/>
          <w:szCs w:val="22"/>
        </w:rPr>
        <w:t xml:space="preserve"> έως και 2020. Ως εκ τούτου τα φορολογικά αποτελέσματα των χρήσεων αυτών δεν έχουν καταστεί οριστικά. Η εταιρεία δεν έχει προβεί σε εκτίμηση των πρόσθετων φόρων και των προσαυξήσεων που πιθανόν καταλογιστούν σε μελλοντικό φορολογικό έλεγχο και δεν έχει σχηματίσει σχετική πρόβλεψη για αυτή την ενδεχόμενη υποχρέωση.</w:t>
      </w:r>
    </w:p>
    <w:p w14:paraId="5543D3FD" w14:textId="77777777" w:rsidR="00190591" w:rsidRPr="00A131AE" w:rsidRDefault="00190591" w:rsidP="00603769">
      <w:pPr>
        <w:shd w:val="clear" w:color="auto" w:fill="FFFFFF"/>
        <w:spacing w:after="200" w:line="276" w:lineRule="auto"/>
        <w:ind w:left="5" w:right="14" w:firstLine="562"/>
        <w:jc w:val="both"/>
        <w:rPr>
          <w:sz w:val="22"/>
          <w:szCs w:val="22"/>
          <w:highlight w:val="yellow"/>
        </w:rPr>
      </w:pPr>
    </w:p>
    <w:p w14:paraId="262883B4" w14:textId="77777777" w:rsidR="005849EE" w:rsidRPr="00D3458A" w:rsidRDefault="009E738C" w:rsidP="005849EE">
      <w:pPr>
        <w:pStyle w:val="1"/>
        <w:jc w:val="left"/>
      </w:pPr>
      <w:bookmarkStart w:id="74" w:name="_Toc488058560"/>
      <w:bookmarkStart w:id="75" w:name="_Toc15546021"/>
      <w:r w:rsidRPr="00D3458A">
        <w:rPr>
          <w:lang w:val="el-GR"/>
        </w:rPr>
        <w:t>28</w:t>
      </w:r>
      <w:r w:rsidR="005849EE" w:rsidRPr="00D3458A">
        <w:t>. Γεγονότα μετά την ημερομηνία του ισολογισμού</w:t>
      </w:r>
      <w:bookmarkEnd w:id="74"/>
      <w:bookmarkEnd w:id="75"/>
    </w:p>
    <w:p w14:paraId="7B514E5A" w14:textId="77777777" w:rsidR="005849EE" w:rsidRPr="00D3458A" w:rsidRDefault="005849EE" w:rsidP="005849EE">
      <w:pPr>
        <w:rPr>
          <w:sz w:val="16"/>
          <w:szCs w:val="16"/>
          <w:lang w:eastAsia="en-US"/>
        </w:rPr>
      </w:pPr>
    </w:p>
    <w:p w14:paraId="7937DB36" w14:textId="77777777" w:rsidR="00D748D1" w:rsidRPr="00D748D1" w:rsidRDefault="00D748D1" w:rsidP="00D748D1">
      <w:pPr>
        <w:shd w:val="clear" w:color="auto" w:fill="FFFFFF"/>
        <w:spacing w:after="200" w:line="276" w:lineRule="auto"/>
        <w:ind w:left="5" w:right="14" w:firstLine="562"/>
        <w:jc w:val="both"/>
        <w:rPr>
          <w:sz w:val="22"/>
          <w:szCs w:val="22"/>
        </w:rPr>
      </w:pPr>
      <w:r w:rsidRPr="00D748D1">
        <w:rPr>
          <w:sz w:val="22"/>
          <w:szCs w:val="22"/>
        </w:rPr>
        <w:t xml:space="preserve">Η Εταιρία μας στα πλαίσια της κοινωνικής ευθύνης και με γνώμονα την άμεση προτεραιότητα μας να διασφαλίσουμε την υγεία </w:t>
      </w:r>
      <w:r>
        <w:rPr>
          <w:sz w:val="22"/>
          <w:szCs w:val="22"/>
        </w:rPr>
        <w:t>τ</w:t>
      </w:r>
      <w:r w:rsidRPr="00D748D1">
        <w:rPr>
          <w:sz w:val="22"/>
          <w:szCs w:val="22"/>
        </w:rPr>
        <w:t xml:space="preserve">ων συνεργατών –πελατών μας και κατ’ επέκταση να συμβάλλουμε στην μείωση της διασποράς του ιού covid-19 συνεχίζει να εφαρμόζει τα μέτρα </w:t>
      </w:r>
      <w:r>
        <w:rPr>
          <w:sz w:val="22"/>
          <w:szCs w:val="22"/>
        </w:rPr>
        <w:t xml:space="preserve">πρόληψης </w:t>
      </w:r>
      <w:r w:rsidRPr="00D748D1">
        <w:rPr>
          <w:sz w:val="22"/>
          <w:szCs w:val="22"/>
        </w:rPr>
        <w:t>που έλαβε στην προηγούμενη χρήση και εφαρμόζοντας οποιαδήποτε οδηγία σχετική με μέτρα πρόληψης που ορίζονται από τις αρμόδιες Υγειονομικές Αρχές.</w:t>
      </w:r>
    </w:p>
    <w:p w14:paraId="6EE1A505" w14:textId="77777777" w:rsidR="00C2626C" w:rsidRPr="00D3458A" w:rsidRDefault="00D748D1" w:rsidP="00D748D1">
      <w:pPr>
        <w:shd w:val="clear" w:color="auto" w:fill="FFFFFF"/>
        <w:spacing w:after="200" w:line="276" w:lineRule="auto"/>
        <w:ind w:left="5" w:right="14" w:firstLine="562"/>
        <w:jc w:val="both"/>
        <w:rPr>
          <w:sz w:val="22"/>
          <w:szCs w:val="22"/>
        </w:rPr>
      </w:pPr>
      <w:r w:rsidRPr="00D748D1">
        <w:rPr>
          <w:sz w:val="22"/>
          <w:szCs w:val="22"/>
        </w:rPr>
        <w:t xml:space="preserve">Σχετικά με την οικονομική επίπτωση λόγω του ιού covid-19, η εταιρία μας δεν θα επηρεαστεί </w:t>
      </w:r>
      <w:r>
        <w:rPr>
          <w:sz w:val="22"/>
          <w:szCs w:val="22"/>
        </w:rPr>
        <w:t>ο τζίρος</w:t>
      </w:r>
      <w:r w:rsidRPr="00D748D1">
        <w:rPr>
          <w:sz w:val="22"/>
          <w:szCs w:val="22"/>
        </w:rPr>
        <w:t xml:space="preserve"> μας καθώς τα οικονομικά στοιχεία της περιόδου </w:t>
      </w:r>
      <w:r>
        <w:rPr>
          <w:sz w:val="22"/>
          <w:szCs w:val="22"/>
        </w:rPr>
        <w:t xml:space="preserve">και η δραστηριότητα μας </w:t>
      </w:r>
      <w:r w:rsidRPr="00D748D1">
        <w:rPr>
          <w:sz w:val="22"/>
          <w:szCs w:val="22"/>
        </w:rPr>
        <w:t xml:space="preserve">μέχρι σήμερα εμφανίζονται </w:t>
      </w:r>
      <w:r>
        <w:rPr>
          <w:sz w:val="22"/>
          <w:szCs w:val="22"/>
        </w:rPr>
        <w:t>περιορισμένη</w:t>
      </w:r>
      <w:r w:rsidRPr="00D748D1">
        <w:rPr>
          <w:sz w:val="22"/>
          <w:szCs w:val="22"/>
        </w:rPr>
        <w:t xml:space="preserve"> παρόλο αυτά εκτιμούμε ότι ως Διοίκηση δεν θα αντιμετωπίσουμε οποιοδήποτε πρόβλημα συνέχισης των εργασιών μας για του επόμενους 18 μήνες. Εκτιμούμε ότι θα διατηρηθεί η </w:t>
      </w:r>
      <w:r>
        <w:rPr>
          <w:sz w:val="22"/>
          <w:szCs w:val="22"/>
        </w:rPr>
        <w:t>λειτουργία μας</w:t>
      </w:r>
      <w:r w:rsidRPr="00D748D1">
        <w:rPr>
          <w:sz w:val="22"/>
          <w:szCs w:val="22"/>
        </w:rPr>
        <w:t xml:space="preserve"> θα παρακολουθούμε το θέμα αυτό σε μηνιαία βάση και αν χρειαστεί θα προβούμε στις απαραίτητες διορθωτικές κινήσεις.</w:t>
      </w:r>
    </w:p>
    <w:p w14:paraId="61849B23" w14:textId="77777777" w:rsidR="004A01BC" w:rsidRPr="004B03D1" w:rsidRDefault="001B510C" w:rsidP="001B510C">
      <w:pPr>
        <w:jc w:val="center"/>
        <w:rPr>
          <w:sz w:val="22"/>
          <w:szCs w:val="22"/>
        </w:rPr>
      </w:pPr>
      <w:r w:rsidRPr="00041B4F">
        <w:rPr>
          <w:sz w:val="22"/>
          <w:szCs w:val="22"/>
        </w:rPr>
        <w:t xml:space="preserve">Πάτρα, </w:t>
      </w:r>
      <w:r w:rsidR="008C6842">
        <w:rPr>
          <w:sz w:val="22"/>
          <w:szCs w:val="22"/>
        </w:rPr>
        <w:t>27</w:t>
      </w:r>
      <w:r w:rsidR="0089735C" w:rsidRPr="00041B4F">
        <w:rPr>
          <w:sz w:val="22"/>
          <w:szCs w:val="22"/>
        </w:rPr>
        <w:t xml:space="preserve"> Ιουλίου </w:t>
      </w:r>
      <w:r w:rsidR="00041B4F" w:rsidRPr="00041B4F">
        <w:rPr>
          <w:sz w:val="22"/>
          <w:szCs w:val="22"/>
        </w:rPr>
        <w:t>2021</w:t>
      </w:r>
    </w:p>
    <w:p w14:paraId="37408454" w14:textId="77777777" w:rsidR="004A01BC" w:rsidRPr="00D3458A" w:rsidRDefault="004A01BC" w:rsidP="004A01BC">
      <w:pPr>
        <w:rPr>
          <w:sz w:val="22"/>
          <w:szCs w:val="22"/>
        </w:rPr>
      </w:pPr>
    </w:p>
    <w:tbl>
      <w:tblPr>
        <w:tblW w:w="0" w:type="auto"/>
        <w:jc w:val="center"/>
        <w:tblLook w:val="01E0" w:firstRow="1" w:lastRow="1" w:firstColumn="1" w:lastColumn="1" w:noHBand="0" w:noVBand="0"/>
      </w:tblPr>
      <w:tblGrid>
        <w:gridCol w:w="3252"/>
        <w:gridCol w:w="3253"/>
        <w:gridCol w:w="3247"/>
      </w:tblGrid>
      <w:tr w:rsidR="00822F62" w:rsidRPr="00A131AE" w14:paraId="7926C06C" w14:textId="77777777" w:rsidTr="00B32765">
        <w:trPr>
          <w:jc w:val="center"/>
        </w:trPr>
        <w:tc>
          <w:tcPr>
            <w:tcW w:w="3254" w:type="dxa"/>
          </w:tcPr>
          <w:p w14:paraId="41215299" w14:textId="77777777" w:rsidR="00822F62" w:rsidRPr="00D3458A" w:rsidRDefault="00C97D48" w:rsidP="003506D2">
            <w:pPr>
              <w:autoSpaceDE w:val="0"/>
              <w:autoSpaceDN w:val="0"/>
              <w:adjustRightInd w:val="0"/>
              <w:jc w:val="center"/>
              <w:rPr>
                <w:bCs/>
                <w:sz w:val="22"/>
                <w:szCs w:val="22"/>
              </w:rPr>
            </w:pPr>
            <w:r w:rsidRPr="00D3458A">
              <w:rPr>
                <w:bCs/>
                <w:sz w:val="22"/>
                <w:szCs w:val="22"/>
              </w:rPr>
              <w:t xml:space="preserve">Πρόεδρος του Διοικητικού Συμβουλίου και Διευθύνων Σύμβουλος </w:t>
            </w:r>
          </w:p>
        </w:tc>
        <w:tc>
          <w:tcPr>
            <w:tcW w:w="3255" w:type="dxa"/>
          </w:tcPr>
          <w:p w14:paraId="366A8762" w14:textId="77777777" w:rsidR="00C97D48" w:rsidRPr="00D3458A" w:rsidRDefault="00C97D48" w:rsidP="00C97D48">
            <w:pPr>
              <w:autoSpaceDE w:val="0"/>
              <w:autoSpaceDN w:val="0"/>
              <w:adjustRightInd w:val="0"/>
              <w:jc w:val="center"/>
              <w:rPr>
                <w:bCs/>
                <w:sz w:val="22"/>
                <w:szCs w:val="22"/>
              </w:rPr>
            </w:pPr>
            <w:r w:rsidRPr="00D3458A">
              <w:rPr>
                <w:bCs/>
                <w:sz w:val="22"/>
                <w:szCs w:val="22"/>
              </w:rPr>
              <w:t xml:space="preserve">Μέλος του </w:t>
            </w:r>
          </w:p>
          <w:p w14:paraId="2FD87F3D" w14:textId="77777777" w:rsidR="00822F62" w:rsidRPr="00D3458A" w:rsidRDefault="00C97D48" w:rsidP="00C97D48">
            <w:pPr>
              <w:autoSpaceDE w:val="0"/>
              <w:autoSpaceDN w:val="0"/>
              <w:adjustRightInd w:val="0"/>
              <w:jc w:val="center"/>
              <w:rPr>
                <w:bCs/>
                <w:sz w:val="22"/>
                <w:szCs w:val="22"/>
              </w:rPr>
            </w:pPr>
            <w:r w:rsidRPr="00D3458A">
              <w:rPr>
                <w:bCs/>
                <w:sz w:val="22"/>
                <w:szCs w:val="22"/>
              </w:rPr>
              <w:t xml:space="preserve">Διοικητικού Συμβουλίου </w:t>
            </w:r>
          </w:p>
        </w:tc>
        <w:tc>
          <w:tcPr>
            <w:tcW w:w="3249" w:type="dxa"/>
          </w:tcPr>
          <w:p w14:paraId="1F960953" w14:textId="77777777" w:rsidR="00C97D48" w:rsidRPr="00D3458A" w:rsidRDefault="00C97D48" w:rsidP="00C97D48">
            <w:pPr>
              <w:autoSpaceDE w:val="0"/>
              <w:autoSpaceDN w:val="0"/>
              <w:adjustRightInd w:val="0"/>
              <w:jc w:val="center"/>
              <w:rPr>
                <w:bCs/>
                <w:sz w:val="22"/>
                <w:szCs w:val="22"/>
              </w:rPr>
            </w:pPr>
            <w:r w:rsidRPr="00D3458A">
              <w:rPr>
                <w:bCs/>
                <w:sz w:val="22"/>
                <w:szCs w:val="22"/>
              </w:rPr>
              <w:t>Υπεύθυνος του</w:t>
            </w:r>
          </w:p>
          <w:p w14:paraId="59F0778A" w14:textId="77777777" w:rsidR="00822F62" w:rsidRPr="00D3458A" w:rsidRDefault="00C97D48" w:rsidP="003506D2">
            <w:pPr>
              <w:autoSpaceDE w:val="0"/>
              <w:autoSpaceDN w:val="0"/>
              <w:adjustRightInd w:val="0"/>
              <w:jc w:val="center"/>
              <w:rPr>
                <w:bCs/>
                <w:sz w:val="22"/>
                <w:szCs w:val="22"/>
              </w:rPr>
            </w:pPr>
            <w:r w:rsidRPr="00D3458A">
              <w:rPr>
                <w:bCs/>
                <w:sz w:val="22"/>
                <w:szCs w:val="22"/>
              </w:rPr>
              <w:t xml:space="preserve"> Λογιστηρίου </w:t>
            </w:r>
          </w:p>
        </w:tc>
      </w:tr>
    </w:tbl>
    <w:p w14:paraId="5EB0E086" w14:textId="77777777" w:rsidR="00762095" w:rsidRPr="00A131AE" w:rsidRDefault="00762095" w:rsidP="004A01BC">
      <w:pPr>
        <w:tabs>
          <w:tab w:val="left" w:pos="6893"/>
        </w:tabs>
        <w:rPr>
          <w:sz w:val="22"/>
          <w:szCs w:val="22"/>
          <w:highlight w:val="yellow"/>
        </w:rPr>
      </w:pPr>
    </w:p>
    <w:p w14:paraId="42A26718" w14:textId="77777777" w:rsidR="007D5488" w:rsidRPr="00A131AE" w:rsidRDefault="007D5488" w:rsidP="004A01BC">
      <w:pPr>
        <w:tabs>
          <w:tab w:val="left" w:pos="6893"/>
        </w:tabs>
        <w:rPr>
          <w:sz w:val="22"/>
          <w:szCs w:val="22"/>
          <w:highlight w:val="yellow"/>
        </w:rPr>
      </w:pPr>
    </w:p>
    <w:p w14:paraId="6B59EB91" w14:textId="77777777" w:rsidR="00822F62" w:rsidRPr="00A131AE" w:rsidRDefault="00822F62" w:rsidP="004A01BC">
      <w:pPr>
        <w:tabs>
          <w:tab w:val="left" w:pos="6893"/>
        </w:tabs>
        <w:rPr>
          <w:sz w:val="22"/>
          <w:szCs w:val="22"/>
          <w:highlight w:val="yellow"/>
        </w:rPr>
      </w:pPr>
    </w:p>
    <w:tbl>
      <w:tblPr>
        <w:tblW w:w="0" w:type="auto"/>
        <w:jc w:val="center"/>
        <w:tblLook w:val="01E0" w:firstRow="1" w:lastRow="1" w:firstColumn="1" w:lastColumn="1" w:noHBand="0" w:noVBand="0"/>
      </w:tblPr>
      <w:tblGrid>
        <w:gridCol w:w="3252"/>
        <w:gridCol w:w="3253"/>
        <w:gridCol w:w="3247"/>
      </w:tblGrid>
      <w:tr w:rsidR="00822F62" w:rsidRPr="00822F62" w14:paraId="2B93625B" w14:textId="77777777" w:rsidTr="00B32765">
        <w:trPr>
          <w:jc w:val="center"/>
        </w:trPr>
        <w:tc>
          <w:tcPr>
            <w:tcW w:w="3254" w:type="dxa"/>
          </w:tcPr>
          <w:p w14:paraId="73AF106F" w14:textId="77777777" w:rsidR="00C97D48" w:rsidRPr="00D3458A" w:rsidRDefault="00D3458A" w:rsidP="00C97D48">
            <w:pPr>
              <w:autoSpaceDE w:val="0"/>
              <w:autoSpaceDN w:val="0"/>
              <w:adjustRightInd w:val="0"/>
              <w:jc w:val="center"/>
              <w:rPr>
                <w:bCs/>
                <w:sz w:val="22"/>
                <w:szCs w:val="22"/>
              </w:rPr>
            </w:pPr>
            <w:r w:rsidRPr="00D3458A">
              <w:rPr>
                <w:bCs/>
                <w:sz w:val="22"/>
                <w:szCs w:val="22"/>
              </w:rPr>
              <w:t>Κωνσταντίνος Γ. Παναγούλιας</w:t>
            </w:r>
          </w:p>
          <w:p w14:paraId="1E166EC8" w14:textId="77777777" w:rsidR="0080146B" w:rsidRPr="00595C7D" w:rsidRDefault="00726470" w:rsidP="00C97D48">
            <w:pPr>
              <w:autoSpaceDE w:val="0"/>
              <w:autoSpaceDN w:val="0"/>
              <w:adjustRightInd w:val="0"/>
              <w:jc w:val="center"/>
              <w:rPr>
                <w:bCs/>
                <w:sz w:val="22"/>
                <w:szCs w:val="22"/>
              </w:rPr>
            </w:pPr>
            <w:r w:rsidRPr="00595C7D">
              <w:rPr>
                <w:bCs/>
                <w:sz w:val="22"/>
                <w:szCs w:val="22"/>
              </w:rPr>
              <w:t>Α.Δ.Τ. Σ 250113</w:t>
            </w:r>
          </w:p>
          <w:p w14:paraId="5DA4BD41" w14:textId="77777777" w:rsidR="00822F62" w:rsidRPr="00595C7D" w:rsidRDefault="00822F62" w:rsidP="00B32765">
            <w:pPr>
              <w:autoSpaceDE w:val="0"/>
              <w:autoSpaceDN w:val="0"/>
              <w:adjustRightInd w:val="0"/>
              <w:jc w:val="center"/>
              <w:rPr>
                <w:bCs/>
                <w:sz w:val="22"/>
                <w:szCs w:val="22"/>
              </w:rPr>
            </w:pPr>
          </w:p>
        </w:tc>
        <w:tc>
          <w:tcPr>
            <w:tcW w:w="3255" w:type="dxa"/>
          </w:tcPr>
          <w:p w14:paraId="13FD5536" w14:textId="77777777" w:rsidR="00822F62" w:rsidRPr="00094E3E" w:rsidRDefault="00D3458A" w:rsidP="00B32765">
            <w:pPr>
              <w:autoSpaceDE w:val="0"/>
              <w:autoSpaceDN w:val="0"/>
              <w:adjustRightInd w:val="0"/>
              <w:jc w:val="center"/>
              <w:rPr>
                <w:bCs/>
                <w:sz w:val="22"/>
                <w:szCs w:val="22"/>
              </w:rPr>
            </w:pPr>
            <w:r w:rsidRPr="00094E3E">
              <w:rPr>
                <w:bCs/>
                <w:sz w:val="22"/>
                <w:szCs w:val="22"/>
              </w:rPr>
              <w:t>Βικτωρία Δ. Τζαμτζή</w:t>
            </w:r>
          </w:p>
          <w:p w14:paraId="78BAAFFC" w14:textId="77777777" w:rsidR="0080146B" w:rsidRPr="00094E3E" w:rsidRDefault="0080146B" w:rsidP="00476A81">
            <w:pPr>
              <w:autoSpaceDE w:val="0"/>
              <w:autoSpaceDN w:val="0"/>
              <w:adjustRightInd w:val="0"/>
              <w:jc w:val="center"/>
              <w:rPr>
                <w:bCs/>
                <w:sz w:val="22"/>
                <w:szCs w:val="22"/>
              </w:rPr>
            </w:pPr>
            <w:r w:rsidRPr="00094E3E">
              <w:rPr>
                <w:bCs/>
                <w:sz w:val="22"/>
                <w:szCs w:val="22"/>
              </w:rPr>
              <w:t xml:space="preserve">Α.Δ.T.  </w:t>
            </w:r>
            <w:r w:rsidR="0092751B" w:rsidRPr="00094E3E">
              <w:rPr>
                <w:bCs/>
                <w:sz w:val="22"/>
                <w:szCs w:val="22"/>
              </w:rPr>
              <w:t>Α</w:t>
            </w:r>
            <w:r w:rsidR="00476A81" w:rsidRPr="00094E3E">
              <w:rPr>
                <w:bCs/>
                <w:sz w:val="22"/>
                <w:szCs w:val="22"/>
              </w:rPr>
              <w:t>Ε</w:t>
            </w:r>
            <w:r w:rsidR="0092751B" w:rsidRPr="00094E3E">
              <w:rPr>
                <w:bCs/>
                <w:sz w:val="22"/>
                <w:szCs w:val="22"/>
              </w:rPr>
              <w:t xml:space="preserve"> </w:t>
            </w:r>
            <w:r w:rsidR="00476A81" w:rsidRPr="00094E3E">
              <w:rPr>
                <w:bCs/>
                <w:sz w:val="22"/>
                <w:szCs w:val="22"/>
              </w:rPr>
              <w:t>559008</w:t>
            </w:r>
          </w:p>
        </w:tc>
        <w:tc>
          <w:tcPr>
            <w:tcW w:w="3249" w:type="dxa"/>
          </w:tcPr>
          <w:p w14:paraId="2CFE5FAB" w14:textId="1F9BEED3" w:rsidR="00C97D48" w:rsidRPr="00D3458A" w:rsidRDefault="0083580B" w:rsidP="00C97D48">
            <w:pPr>
              <w:autoSpaceDE w:val="0"/>
              <w:autoSpaceDN w:val="0"/>
              <w:adjustRightInd w:val="0"/>
              <w:jc w:val="center"/>
              <w:rPr>
                <w:bCs/>
                <w:sz w:val="22"/>
                <w:szCs w:val="22"/>
              </w:rPr>
            </w:pPr>
            <w:r>
              <w:rPr>
                <w:bCs/>
                <w:sz w:val="22"/>
                <w:szCs w:val="22"/>
              </w:rPr>
              <w:t xml:space="preserve">Δήμητρα </w:t>
            </w:r>
            <w:r w:rsidR="004A70C7" w:rsidRPr="00D3458A">
              <w:rPr>
                <w:bCs/>
                <w:sz w:val="22"/>
                <w:szCs w:val="22"/>
              </w:rPr>
              <w:t>Παναγιωτ</w:t>
            </w:r>
            <w:r>
              <w:rPr>
                <w:bCs/>
                <w:sz w:val="22"/>
                <w:szCs w:val="22"/>
              </w:rPr>
              <w:t>οπούλου</w:t>
            </w:r>
          </w:p>
          <w:p w14:paraId="35A8E62F" w14:textId="48E444E0" w:rsidR="00822F62" w:rsidRPr="007D5488" w:rsidRDefault="004A70C7" w:rsidP="00B32765">
            <w:pPr>
              <w:autoSpaceDE w:val="0"/>
              <w:autoSpaceDN w:val="0"/>
              <w:adjustRightInd w:val="0"/>
              <w:jc w:val="center"/>
              <w:rPr>
                <w:bCs/>
                <w:sz w:val="22"/>
                <w:szCs w:val="22"/>
              </w:rPr>
            </w:pPr>
            <w:r w:rsidRPr="00D3458A">
              <w:rPr>
                <w:bCs/>
                <w:sz w:val="22"/>
                <w:szCs w:val="22"/>
              </w:rPr>
              <w:t>Α.Δ.Τ. Α</w:t>
            </w:r>
            <w:r w:rsidR="0083580B">
              <w:rPr>
                <w:bCs/>
                <w:sz w:val="22"/>
                <w:szCs w:val="22"/>
              </w:rPr>
              <w:t>Ν</w:t>
            </w:r>
            <w:r w:rsidRPr="00D3458A">
              <w:rPr>
                <w:bCs/>
                <w:sz w:val="22"/>
                <w:szCs w:val="22"/>
              </w:rPr>
              <w:t xml:space="preserve"> </w:t>
            </w:r>
            <w:r w:rsidR="0083580B">
              <w:rPr>
                <w:bCs/>
                <w:sz w:val="22"/>
                <w:szCs w:val="22"/>
              </w:rPr>
              <w:t>247165</w:t>
            </w:r>
          </w:p>
        </w:tc>
      </w:tr>
    </w:tbl>
    <w:p w14:paraId="50310943" w14:textId="77777777" w:rsidR="00822F62" w:rsidRPr="004A01BC" w:rsidRDefault="00822F62" w:rsidP="004A01BC">
      <w:pPr>
        <w:tabs>
          <w:tab w:val="left" w:pos="6893"/>
        </w:tabs>
        <w:rPr>
          <w:sz w:val="22"/>
          <w:szCs w:val="22"/>
        </w:rPr>
      </w:pPr>
    </w:p>
    <w:sectPr w:rsidR="00822F62" w:rsidRPr="004A01BC" w:rsidSect="008737B6">
      <w:headerReference w:type="default" r:id="rId21"/>
      <w:footerReference w:type="even" r:id="rId22"/>
      <w:footerReference w:type="default" r:id="rId23"/>
      <w:pgSz w:w="11906" w:h="16838" w:code="9"/>
      <w:pgMar w:top="1440" w:right="1077" w:bottom="1440" w:left="1077"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E32F45" w14:textId="77777777" w:rsidR="00B340CE" w:rsidRDefault="00B340CE">
      <w:r>
        <w:separator/>
      </w:r>
    </w:p>
  </w:endnote>
  <w:endnote w:type="continuationSeparator" w:id="0">
    <w:p w14:paraId="1A3EB0E4" w14:textId="77777777" w:rsidR="00B340CE" w:rsidRDefault="00B340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 w:name="Calibri">
    <w:panose1 w:val="020F0502020204030204"/>
    <w:charset w:val="A1"/>
    <w:family w:val="swiss"/>
    <w:pitch w:val="variable"/>
    <w:sig w:usb0="E4002EFF" w:usb1="C000247B" w:usb2="00000009" w:usb3="00000000" w:csb0="000001FF" w:csb1="00000000"/>
  </w:font>
  <w:font w:name="Book Antiqua">
    <w:panose1 w:val="02040602050305030304"/>
    <w:charset w:val="A1"/>
    <w:family w:val="roman"/>
    <w:pitch w:val="variable"/>
    <w:sig w:usb0="00000287" w:usb1="00000000" w:usb2="00000000" w:usb3="00000000" w:csb0="0000009F" w:csb1="00000000"/>
  </w:font>
  <w:font w:name="Palatino Linotype">
    <w:panose1 w:val="02040502050505030304"/>
    <w:charset w:val="A1"/>
    <w:family w:val="roman"/>
    <w:pitch w:val="variable"/>
    <w:sig w:usb0="E0000287" w:usb1="40000013" w:usb2="00000000" w:usb3="00000000" w:csb0="0000019F" w:csb1="00000000"/>
  </w:font>
  <w:font w:name="Segoe UI">
    <w:panose1 w:val="020B0502040204020203"/>
    <w:charset w:val="A1"/>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0CB22" w14:textId="77777777" w:rsidR="00250935" w:rsidRDefault="00250935" w:rsidP="00887C7B">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301DA641" w14:textId="77777777" w:rsidR="00250935" w:rsidRDefault="00250935" w:rsidP="00887C7B">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C754F" w14:textId="77777777" w:rsidR="00250935" w:rsidRPr="00661C78" w:rsidRDefault="00250935" w:rsidP="00661C78">
    <w:pPr>
      <w:pStyle w:val="a6"/>
      <w:rPr>
        <w:b/>
        <w:i/>
        <w:sz w:val="18"/>
        <w:szCs w:val="18"/>
        <w:lang w:val="el-GR"/>
      </w:rPr>
    </w:pPr>
  </w:p>
  <w:p w14:paraId="6F0D3C07" w14:textId="77777777" w:rsidR="00250935" w:rsidRPr="00600203" w:rsidRDefault="00250935" w:rsidP="00525929">
    <w:pPr>
      <w:pStyle w:val="a6"/>
      <w:pBdr>
        <w:top w:val="single" w:sz="4" w:space="1" w:color="auto"/>
      </w:pBdr>
      <w:rPr>
        <w:b/>
        <w:i/>
        <w:sz w:val="6"/>
        <w:szCs w:val="6"/>
        <w:lang w:val="el-GR"/>
      </w:rPr>
    </w:pPr>
  </w:p>
  <w:p w14:paraId="69C4BAB2" w14:textId="77777777" w:rsidR="00250935" w:rsidRDefault="00250935" w:rsidP="003506D2">
    <w:pPr>
      <w:pStyle w:val="a6"/>
      <w:tabs>
        <w:tab w:val="clear" w:pos="8306"/>
        <w:tab w:val="right" w:pos="9354"/>
      </w:tabs>
    </w:pPr>
    <w:r w:rsidRPr="00B479B9">
      <w:rPr>
        <w:sz w:val="20"/>
        <w:lang w:val="el-GR"/>
      </w:rPr>
      <w:t xml:space="preserve">ΧΡΗΜΑΤΟΟΙΚΟΝΟΜΙΚΕΣ ΚΑΤΑΣΤΑΣΕΙΣ </w:t>
    </w:r>
    <w:r w:rsidRPr="00B479B9">
      <w:rPr>
        <w:sz w:val="20"/>
        <w:lang w:val="en-US"/>
      </w:rPr>
      <w:t>ELDRUG</w:t>
    </w:r>
    <w:r w:rsidRPr="00B479B9">
      <w:rPr>
        <w:sz w:val="20"/>
        <w:lang w:val="el-GR"/>
      </w:rPr>
      <w:t xml:space="preserve"> </w:t>
    </w:r>
    <w:r w:rsidRPr="00B479B9">
      <w:rPr>
        <w:sz w:val="20"/>
        <w:lang w:val="en-US"/>
      </w:rPr>
      <w:t>A</w:t>
    </w:r>
    <w:r w:rsidRPr="00B479B9">
      <w:rPr>
        <w:sz w:val="20"/>
        <w:lang w:val="el-GR"/>
      </w:rPr>
      <w:t>.</w:t>
    </w:r>
    <w:r w:rsidRPr="00B479B9">
      <w:rPr>
        <w:sz w:val="20"/>
        <w:lang w:val="en-US"/>
      </w:rPr>
      <w:t>E</w:t>
    </w:r>
    <w:r>
      <w:rPr>
        <w:sz w:val="20"/>
        <w:lang w:val="el-GR"/>
      </w:rPr>
      <w:t xml:space="preserve"> ΧΡΗΣΗΣ 2020</w:t>
    </w:r>
    <w:r w:rsidRPr="00B479B9">
      <w:rPr>
        <w:sz w:val="20"/>
        <w:lang w:val="el-GR"/>
      </w:rPr>
      <w:t xml:space="preserve"> ΣΥΜΦΩΝΑ ΜΕ ΤΑ Ε.Λ.Π.</w:t>
    </w:r>
    <w:r>
      <w:rPr>
        <w:sz w:val="20"/>
        <w:lang w:val="el-GR"/>
      </w:rPr>
      <w:tab/>
    </w:r>
    <w:r>
      <w:rPr>
        <w:sz w:val="20"/>
        <w:lang w:val="el-GR"/>
      </w:rPr>
      <w:fldChar w:fldCharType="begin"/>
    </w:r>
    <w:r>
      <w:rPr>
        <w:sz w:val="20"/>
        <w:lang w:val="el-GR"/>
      </w:rPr>
      <w:instrText xml:space="preserve"> PAGE   \* MERGEFORMAT </w:instrText>
    </w:r>
    <w:r>
      <w:rPr>
        <w:sz w:val="20"/>
        <w:lang w:val="el-GR"/>
      </w:rPr>
      <w:fldChar w:fldCharType="separate"/>
    </w:r>
    <w:r w:rsidR="00546F3F">
      <w:rPr>
        <w:noProof/>
        <w:sz w:val="20"/>
        <w:lang w:val="el-GR"/>
      </w:rPr>
      <w:t>2</w:t>
    </w:r>
    <w:r>
      <w:rPr>
        <w:sz w:val="20"/>
        <w:lang w:val="el-G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AA176" w14:textId="77777777" w:rsidR="00250935" w:rsidRPr="003506D2" w:rsidRDefault="00250935" w:rsidP="003506D2">
    <w:pPr>
      <w:pStyle w:val="a6"/>
      <w:tabs>
        <w:tab w:val="clear" w:pos="8306"/>
        <w:tab w:val="right" w:pos="9072"/>
      </w:tabs>
      <w:ind w:right="-1"/>
      <w:jc w:val="right"/>
      <w:rPr>
        <w:rFonts w:ascii="Arial" w:hAnsi="Arial" w:cs="Arial"/>
        <w:sz w:val="20"/>
        <w:szCs w:val="20"/>
      </w:rPr>
    </w:pPr>
    <w:r w:rsidRPr="003506D2">
      <w:rPr>
        <w:rFonts w:ascii="Arial" w:hAnsi="Arial" w:cs="Arial"/>
        <w:sz w:val="20"/>
        <w:szCs w:val="20"/>
      </w:rPr>
      <w:fldChar w:fldCharType="begin"/>
    </w:r>
    <w:r w:rsidRPr="003506D2">
      <w:rPr>
        <w:rFonts w:ascii="Arial" w:hAnsi="Arial" w:cs="Arial"/>
        <w:sz w:val="20"/>
        <w:szCs w:val="20"/>
      </w:rPr>
      <w:instrText xml:space="preserve"> PAGE   \* MERGEFORMAT </w:instrText>
    </w:r>
    <w:r w:rsidRPr="003506D2">
      <w:rPr>
        <w:rFonts w:ascii="Arial" w:hAnsi="Arial" w:cs="Arial"/>
        <w:sz w:val="20"/>
        <w:szCs w:val="20"/>
      </w:rPr>
      <w:fldChar w:fldCharType="separate"/>
    </w:r>
    <w:r w:rsidR="00546F3F">
      <w:rPr>
        <w:rFonts w:ascii="Arial" w:hAnsi="Arial" w:cs="Arial"/>
        <w:noProof/>
        <w:sz w:val="20"/>
        <w:szCs w:val="20"/>
      </w:rPr>
      <w:t>6</w:t>
    </w:r>
    <w:r w:rsidRPr="003506D2">
      <w:rPr>
        <w:rFonts w:ascii="Arial" w:hAnsi="Arial" w:cs="Arial"/>
        <w:sz w:val="20"/>
        <w:szCs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42306" w14:textId="77777777" w:rsidR="00250935" w:rsidRPr="003506D2" w:rsidRDefault="00250935" w:rsidP="003506D2">
    <w:pPr>
      <w:pStyle w:val="a6"/>
      <w:tabs>
        <w:tab w:val="clear" w:pos="8306"/>
        <w:tab w:val="right" w:pos="9072"/>
      </w:tabs>
      <w:ind w:right="-1"/>
      <w:jc w:val="right"/>
      <w:rPr>
        <w:rFonts w:ascii="Arial" w:hAnsi="Arial" w:cs="Arial"/>
        <w:sz w:val="20"/>
        <w:szCs w:val="20"/>
      </w:rPr>
    </w:pPr>
    <w:r w:rsidRPr="003506D2">
      <w:rPr>
        <w:rFonts w:ascii="Arial" w:hAnsi="Arial" w:cs="Arial"/>
        <w:sz w:val="20"/>
        <w:szCs w:val="20"/>
      </w:rPr>
      <w:fldChar w:fldCharType="begin"/>
    </w:r>
    <w:r w:rsidRPr="003506D2">
      <w:rPr>
        <w:rFonts w:ascii="Arial" w:hAnsi="Arial" w:cs="Arial"/>
        <w:sz w:val="20"/>
        <w:szCs w:val="20"/>
      </w:rPr>
      <w:instrText xml:space="preserve"> PAGE   \* MERGEFORMAT </w:instrText>
    </w:r>
    <w:r w:rsidRPr="003506D2">
      <w:rPr>
        <w:rFonts w:ascii="Arial" w:hAnsi="Arial" w:cs="Arial"/>
        <w:sz w:val="20"/>
        <w:szCs w:val="20"/>
      </w:rPr>
      <w:fldChar w:fldCharType="separate"/>
    </w:r>
    <w:r w:rsidR="00546F3F">
      <w:rPr>
        <w:rFonts w:ascii="Arial" w:hAnsi="Arial" w:cs="Arial"/>
        <w:noProof/>
        <w:sz w:val="20"/>
        <w:szCs w:val="20"/>
      </w:rPr>
      <w:t>3</w:t>
    </w:r>
    <w:r w:rsidRPr="003506D2">
      <w:rPr>
        <w:rFonts w:ascii="Arial" w:hAnsi="Arial" w:cs="Arial"/>
        <w:sz w:val="20"/>
        <w:szCs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4B518" w14:textId="77777777" w:rsidR="00250935" w:rsidRPr="00661C78" w:rsidRDefault="00250935" w:rsidP="00661C78">
    <w:pPr>
      <w:pStyle w:val="a6"/>
      <w:rPr>
        <w:b/>
        <w:i/>
        <w:sz w:val="18"/>
        <w:szCs w:val="18"/>
        <w:lang w:val="el-GR"/>
      </w:rPr>
    </w:pPr>
  </w:p>
  <w:p w14:paraId="688437FA" w14:textId="77777777" w:rsidR="00250935" w:rsidRPr="00600203" w:rsidRDefault="00250935" w:rsidP="00525929">
    <w:pPr>
      <w:pStyle w:val="a6"/>
      <w:pBdr>
        <w:top w:val="single" w:sz="4" w:space="1" w:color="auto"/>
      </w:pBdr>
      <w:rPr>
        <w:b/>
        <w:i/>
        <w:sz w:val="6"/>
        <w:szCs w:val="6"/>
        <w:lang w:val="el-GR"/>
      </w:rPr>
    </w:pPr>
  </w:p>
  <w:p w14:paraId="33645EFE" w14:textId="77777777" w:rsidR="00250935" w:rsidRDefault="00250935" w:rsidP="003506D2">
    <w:pPr>
      <w:pStyle w:val="a6"/>
      <w:tabs>
        <w:tab w:val="clear" w:pos="8306"/>
        <w:tab w:val="right" w:pos="9354"/>
      </w:tabs>
    </w:pPr>
    <w:r w:rsidRPr="00B479B9">
      <w:rPr>
        <w:sz w:val="20"/>
        <w:lang w:val="el-GR"/>
      </w:rPr>
      <w:t xml:space="preserve">ΧΡΗΜΑΤΟΟΙΚΟΝΟΜΙΚΕΣ ΚΑΤΑΣΤΑΣΕΙΣ </w:t>
    </w:r>
    <w:r w:rsidRPr="00B479B9">
      <w:rPr>
        <w:sz w:val="20"/>
        <w:lang w:val="en-US"/>
      </w:rPr>
      <w:t>ELDRUG</w:t>
    </w:r>
    <w:r w:rsidRPr="00B479B9">
      <w:rPr>
        <w:sz w:val="20"/>
        <w:lang w:val="el-GR"/>
      </w:rPr>
      <w:t xml:space="preserve"> </w:t>
    </w:r>
    <w:r w:rsidRPr="00B479B9">
      <w:rPr>
        <w:sz w:val="20"/>
        <w:lang w:val="en-US"/>
      </w:rPr>
      <w:t>A</w:t>
    </w:r>
    <w:r w:rsidRPr="00B479B9">
      <w:rPr>
        <w:sz w:val="20"/>
        <w:lang w:val="el-GR"/>
      </w:rPr>
      <w:t>.</w:t>
    </w:r>
    <w:r w:rsidRPr="00B479B9">
      <w:rPr>
        <w:sz w:val="20"/>
        <w:lang w:val="en-US"/>
      </w:rPr>
      <w:t>E</w:t>
    </w:r>
    <w:r>
      <w:rPr>
        <w:sz w:val="20"/>
        <w:lang w:val="el-GR"/>
      </w:rPr>
      <w:t xml:space="preserve"> ΧΡΗΣΗΣ 2020</w:t>
    </w:r>
    <w:r w:rsidRPr="00B479B9">
      <w:rPr>
        <w:sz w:val="20"/>
        <w:lang w:val="el-GR"/>
      </w:rPr>
      <w:t xml:space="preserve"> ΣΥΜΦΩΝΑ ΜΕ ΤΑ Ε.Λ.Π.</w:t>
    </w:r>
    <w:r>
      <w:rPr>
        <w:sz w:val="20"/>
        <w:lang w:val="el-GR"/>
      </w:rPr>
      <w:tab/>
    </w:r>
    <w:r>
      <w:rPr>
        <w:sz w:val="20"/>
        <w:lang w:val="el-GR"/>
      </w:rPr>
      <w:fldChar w:fldCharType="begin"/>
    </w:r>
    <w:r>
      <w:rPr>
        <w:sz w:val="20"/>
        <w:lang w:val="el-GR"/>
      </w:rPr>
      <w:instrText xml:space="preserve"> PAGE   \* MERGEFORMAT </w:instrText>
    </w:r>
    <w:r>
      <w:rPr>
        <w:sz w:val="20"/>
        <w:lang w:val="el-GR"/>
      </w:rPr>
      <w:fldChar w:fldCharType="separate"/>
    </w:r>
    <w:r w:rsidR="00546F3F">
      <w:rPr>
        <w:noProof/>
        <w:sz w:val="20"/>
        <w:lang w:val="el-GR"/>
      </w:rPr>
      <w:t>9</w:t>
    </w:r>
    <w:r>
      <w:rPr>
        <w:sz w:val="20"/>
        <w:lang w:val="el-GR"/>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01FDF" w14:textId="77777777" w:rsidR="00250935" w:rsidRPr="00661C78" w:rsidRDefault="00250935" w:rsidP="003506D2">
    <w:pPr>
      <w:pStyle w:val="a6"/>
      <w:rPr>
        <w:b/>
        <w:i/>
        <w:sz w:val="18"/>
        <w:szCs w:val="18"/>
        <w:lang w:val="el-GR"/>
      </w:rPr>
    </w:pPr>
  </w:p>
  <w:p w14:paraId="65B38A52" w14:textId="77777777" w:rsidR="00250935" w:rsidRPr="00600203" w:rsidRDefault="00250935" w:rsidP="003506D2">
    <w:pPr>
      <w:pStyle w:val="a6"/>
      <w:pBdr>
        <w:top w:val="single" w:sz="4" w:space="1" w:color="auto"/>
      </w:pBdr>
      <w:rPr>
        <w:b/>
        <w:i/>
        <w:sz w:val="6"/>
        <w:szCs w:val="6"/>
        <w:lang w:val="el-GR"/>
      </w:rPr>
    </w:pPr>
  </w:p>
  <w:p w14:paraId="33CE639A" w14:textId="77777777" w:rsidR="00250935" w:rsidRDefault="00250935" w:rsidP="003506D2">
    <w:pPr>
      <w:pStyle w:val="a6"/>
      <w:tabs>
        <w:tab w:val="clear" w:pos="8306"/>
        <w:tab w:val="right" w:pos="9354"/>
      </w:tabs>
    </w:pPr>
    <w:r w:rsidRPr="00B479B9">
      <w:rPr>
        <w:sz w:val="20"/>
        <w:lang w:val="el-GR"/>
      </w:rPr>
      <w:t xml:space="preserve">ΧΡΗΜΑΤΟΟΙΚΟΝΟΜΙΚΕΣ ΚΑΤΑΣΤΑΣΕΙΣ </w:t>
    </w:r>
    <w:r w:rsidRPr="00B479B9">
      <w:rPr>
        <w:sz w:val="20"/>
        <w:lang w:val="en-US"/>
      </w:rPr>
      <w:t>ELDRUG</w:t>
    </w:r>
    <w:r w:rsidRPr="00B479B9">
      <w:rPr>
        <w:sz w:val="20"/>
        <w:lang w:val="el-GR"/>
      </w:rPr>
      <w:t xml:space="preserve"> </w:t>
    </w:r>
    <w:r w:rsidRPr="00B479B9">
      <w:rPr>
        <w:sz w:val="20"/>
        <w:lang w:val="en-US"/>
      </w:rPr>
      <w:t>A</w:t>
    </w:r>
    <w:r w:rsidRPr="00B479B9">
      <w:rPr>
        <w:sz w:val="20"/>
        <w:lang w:val="el-GR"/>
      </w:rPr>
      <w:t>.</w:t>
    </w:r>
    <w:r w:rsidRPr="00B479B9">
      <w:rPr>
        <w:sz w:val="20"/>
        <w:lang w:val="en-US"/>
      </w:rPr>
      <w:t>E</w:t>
    </w:r>
    <w:r>
      <w:rPr>
        <w:sz w:val="20"/>
        <w:lang w:val="el-GR"/>
      </w:rPr>
      <w:t xml:space="preserve"> ΧΡΗΣΗΣ 2020</w:t>
    </w:r>
    <w:r w:rsidRPr="00B479B9">
      <w:rPr>
        <w:sz w:val="20"/>
        <w:lang w:val="el-GR"/>
      </w:rPr>
      <w:t xml:space="preserve"> ΣΥΜΦΩΝΑ ΜΕ ΤΑ Ε.Λ.Π.</w:t>
    </w:r>
    <w:r>
      <w:rPr>
        <w:sz w:val="20"/>
        <w:lang w:val="el-GR"/>
      </w:rPr>
      <w:tab/>
    </w:r>
    <w:r>
      <w:rPr>
        <w:sz w:val="20"/>
        <w:lang w:val="el-GR"/>
      </w:rPr>
      <w:fldChar w:fldCharType="begin"/>
    </w:r>
    <w:r>
      <w:rPr>
        <w:sz w:val="20"/>
        <w:lang w:val="el-GR"/>
      </w:rPr>
      <w:instrText xml:space="preserve"> PAGE   \* MERGEFORMAT </w:instrText>
    </w:r>
    <w:r>
      <w:rPr>
        <w:sz w:val="20"/>
        <w:lang w:val="el-GR"/>
      </w:rPr>
      <w:fldChar w:fldCharType="separate"/>
    </w:r>
    <w:r w:rsidR="00546F3F">
      <w:rPr>
        <w:noProof/>
        <w:sz w:val="20"/>
        <w:lang w:val="el-GR"/>
      </w:rPr>
      <w:t>7</w:t>
    </w:r>
    <w:r>
      <w:rPr>
        <w:sz w:val="20"/>
        <w:lang w:val="el-GR"/>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F71BC" w14:textId="77777777" w:rsidR="00250935" w:rsidRPr="00661C78" w:rsidRDefault="00250935" w:rsidP="003506D2">
    <w:pPr>
      <w:pStyle w:val="a6"/>
      <w:rPr>
        <w:b/>
        <w:i/>
        <w:sz w:val="18"/>
        <w:szCs w:val="18"/>
        <w:lang w:val="el-GR"/>
      </w:rPr>
    </w:pPr>
  </w:p>
  <w:p w14:paraId="22AB31A2" w14:textId="77777777" w:rsidR="00250935" w:rsidRPr="00600203" w:rsidRDefault="00250935" w:rsidP="003506D2">
    <w:pPr>
      <w:pStyle w:val="a6"/>
      <w:pBdr>
        <w:top w:val="single" w:sz="4" w:space="1" w:color="auto"/>
      </w:pBdr>
      <w:rPr>
        <w:b/>
        <w:i/>
        <w:sz w:val="6"/>
        <w:szCs w:val="6"/>
        <w:lang w:val="el-GR"/>
      </w:rPr>
    </w:pPr>
  </w:p>
  <w:p w14:paraId="1C9BE2C1" w14:textId="77777777" w:rsidR="00250935" w:rsidRDefault="00250935" w:rsidP="003506D2">
    <w:pPr>
      <w:pStyle w:val="a6"/>
      <w:tabs>
        <w:tab w:val="clear" w:pos="8306"/>
        <w:tab w:val="right" w:pos="14002"/>
      </w:tabs>
    </w:pPr>
    <w:r w:rsidRPr="00B479B9">
      <w:rPr>
        <w:sz w:val="20"/>
        <w:lang w:val="el-GR"/>
      </w:rPr>
      <w:t xml:space="preserve">ΧΡΗΜΑΤΟΟΙΚΟΝΟΜΙΚΕΣ ΚΑΤΑΣΤΑΣΕΙΣ </w:t>
    </w:r>
    <w:r w:rsidRPr="00B479B9">
      <w:rPr>
        <w:sz w:val="20"/>
        <w:lang w:val="en-US"/>
      </w:rPr>
      <w:t>ELDRUG</w:t>
    </w:r>
    <w:r w:rsidRPr="00B479B9">
      <w:rPr>
        <w:sz w:val="20"/>
        <w:lang w:val="el-GR"/>
      </w:rPr>
      <w:t xml:space="preserve"> </w:t>
    </w:r>
    <w:r w:rsidRPr="00B479B9">
      <w:rPr>
        <w:sz w:val="20"/>
        <w:lang w:val="en-US"/>
      </w:rPr>
      <w:t>A</w:t>
    </w:r>
    <w:r w:rsidRPr="00B479B9">
      <w:rPr>
        <w:sz w:val="20"/>
        <w:lang w:val="el-GR"/>
      </w:rPr>
      <w:t>.</w:t>
    </w:r>
    <w:r w:rsidRPr="00B479B9">
      <w:rPr>
        <w:sz w:val="20"/>
        <w:lang w:val="en-US"/>
      </w:rPr>
      <w:t>E</w:t>
    </w:r>
    <w:r>
      <w:rPr>
        <w:sz w:val="20"/>
        <w:lang w:val="el-GR"/>
      </w:rPr>
      <w:t xml:space="preserve"> ΧΡΗΣΗΣ 2020</w:t>
    </w:r>
    <w:r w:rsidRPr="00B479B9">
      <w:rPr>
        <w:sz w:val="20"/>
        <w:lang w:val="el-GR"/>
      </w:rPr>
      <w:t xml:space="preserve"> ΣΥΜΦΩΝΑ ΜΕ ΤΑ Ε.Λ.Π.</w:t>
    </w:r>
    <w:r>
      <w:rPr>
        <w:sz w:val="20"/>
        <w:lang w:val="el-GR"/>
      </w:rPr>
      <w:tab/>
    </w:r>
    <w:r>
      <w:rPr>
        <w:sz w:val="20"/>
        <w:lang w:val="el-GR"/>
      </w:rPr>
      <w:fldChar w:fldCharType="begin"/>
    </w:r>
    <w:r>
      <w:rPr>
        <w:sz w:val="20"/>
        <w:lang w:val="el-GR"/>
      </w:rPr>
      <w:instrText xml:space="preserve"> PAGE   \* MERGEFORMAT </w:instrText>
    </w:r>
    <w:r>
      <w:rPr>
        <w:sz w:val="20"/>
        <w:lang w:val="el-GR"/>
      </w:rPr>
      <w:fldChar w:fldCharType="separate"/>
    </w:r>
    <w:r w:rsidR="00546F3F">
      <w:rPr>
        <w:noProof/>
        <w:sz w:val="20"/>
        <w:lang w:val="el-GR"/>
      </w:rPr>
      <w:t>10</w:t>
    </w:r>
    <w:r>
      <w:rPr>
        <w:sz w:val="20"/>
        <w:lang w:val="el-GR"/>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8BF55" w14:textId="77777777" w:rsidR="00250935" w:rsidRDefault="00250935" w:rsidP="00144CB0">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1140D588" w14:textId="77777777" w:rsidR="00250935" w:rsidRDefault="00250935" w:rsidP="00A41206">
    <w:pPr>
      <w:pStyle w:val="a6"/>
      <w:ind w:right="360"/>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3AD27" w14:textId="77777777" w:rsidR="00250935" w:rsidRPr="00661C78" w:rsidRDefault="00250935" w:rsidP="003506D2">
    <w:pPr>
      <w:pStyle w:val="a6"/>
      <w:rPr>
        <w:b/>
        <w:i/>
        <w:sz w:val="18"/>
        <w:szCs w:val="18"/>
        <w:lang w:val="el-GR"/>
      </w:rPr>
    </w:pPr>
  </w:p>
  <w:p w14:paraId="29368A69" w14:textId="77777777" w:rsidR="00250935" w:rsidRPr="00600203" w:rsidRDefault="00250935" w:rsidP="003506D2">
    <w:pPr>
      <w:pStyle w:val="a6"/>
      <w:pBdr>
        <w:top w:val="single" w:sz="4" w:space="1" w:color="auto"/>
      </w:pBdr>
      <w:rPr>
        <w:b/>
        <w:i/>
        <w:sz w:val="6"/>
        <w:szCs w:val="6"/>
        <w:lang w:val="el-GR"/>
      </w:rPr>
    </w:pPr>
  </w:p>
  <w:p w14:paraId="2C689E6F" w14:textId="77777777" w:rsidR="00250935" w:rsidRDefault="00250935" w:rsidP="003506D2">
    <w:pPr>
      <w:pStyle w:val="a6"/>
      <w:tabs>
        <w:tab w:val="clear" w:pos="8306"/>
        <w:tab w:val="right" w:pos="9752"/>
      </w:tabs>
    </w:pPr>
    <w:r w:rsidRPr="00B479B9">
      <w:rPr>
        <w:sz w:val="20"/>
        <w:lang w:val="el-GR"/>
      </w:rPr>
      <w:t xml:space="preserve">ΧΡΗΜΑΤΟΟΙΚΟΝΟΜΙΚΕΣ ΚΑΤΑΣΤΑΣΕΙΣ </w:t>
    </w:r>
    <w:r w:rsidRPr="00B479B9">
      <w:rPr>
        <w:sz w:val="20"/>
        <w:lang w:val="en-US"/>
      </w:rPr>
      <w:t>ELDRUG</w:t>
    </w:r>
    <w:r w:rsidRPr="00B479B9">
      <w:rPr>
        <w:sz w:val="20"/>
        <w:lang w:val="el-GR"/>
      </w:rPr>
      <w:t xml:space="preserve"> </w:t>
    </w:r>
    <w:r w:rsidRPr="00B479B9">
      <w:rPr>
        <w:sz w:val="20"/>
        <w:lang w:val="en-US"/>
      </w:rPr>
      <w:t>A</w:t>
    </w:r>
    <w:r w:rsidRPr="00B479B9">
      <w:rPr>
        <w:sz w:val="20"/>
        <w:lang w:val="el-GR"/>
      </w:rPr>
      <w:t>.</w:t>
    </w:r>
    <w:r w:rsidRPr="00B479B9">
      <w:rPr>
        <w:sz w:val="20"/>
        <w:lang w:val="en-US"/>
      </w:rPr>
      <w:t>E</w:t>
    </w:r>
    <w:r>
      <w:rPr>
        <w:sz w:val="20"/>
        <w:lang w:val="el-GR"/>
      </w:rPr>
      <w:t xml:space="preserve"> ΧΡΗΣΗΣ 2020</w:t>
    </w:r>
    <w:r w:rsidRPr="00B479B9">
      <w:rPr>
        <w:sz w:val="20"/>
        <w:lang w:val="el-GR"/>
      </w:rPr>
      <w:t xml:space="preserve"> ΣΥΜΦΩΝΑ ΜΕ ΤΑ Ε.Λ.Π.</w:t>
    </w:r>
    <w:r>
      <w:rPr>
        <w:sz w:val="20"/>
        <w:lang w:val="el-GR"/>
      </w:rPr>
      <w:tab/>
    </w:r>
    <w:r>
      <w:rPr>
        <w:sz w:val="20"/>
        <w:lang w:val="el-GR"/>
      </w:rPr>
      <w:fldChar w:fldCharType="begin"/>
    </w:r>
    <w:r>
      <w:rPr>
        <w:sz w:val="20"/>
        <w:lang w:val="el-GR"/>
      </w:rPr>
      <w:instrText xml:space="preserve"> PAGE   \* MERGEFORMAT </w:instrText>
    </w:r>
    <w:r>
      <w:rPr>
        <w:sz w:val="20"/>
        <w:lang w:val="el-GR"/>
      </w:rPr>
      <w:fldChar w:fldCharType="separate"/>
    </w:r>
    <w:r w:rsidR="00546F3F">
      <w:rPr>
        <w:noProof/>
        <w:sz w:val="20"/>
        <w:lang w:val="el-GR"/>
      </w:rPr>
      <w:t>24</w:t>
    </w:r>
    <w:r>
      <w:rPr>
        <w:sz w:val="20"/>
        <w:lang w:val="el-G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575931" w14:textId="77777777" w:rsidR="00B340CE" w:rsidRDefault="00B340CE">
      <w:r>
        <w:separator/>
      </w:r>
    </w:p>
  </w:footnote>
  <w:footnote w:type="continuationSeparator" w:id="0">
    <w:p w14:paraId="253F7EF7" w14:textId="77777777" w:rsidR="00B340CE" w:rsidRDefault="00B340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29F6C" w14:textId="77777777" w:rsidR="00250935" w:rsidRPr="003506D2" w:rsidRDefault="00250935" w:rsidP="003506D2">
    <w:pPr>
      <w:pStyle w:val="a5"/>
      <w:rPr>
        <w:rFonts w:ascii="Arial" w:hAnsi="Arial" w:cs="Arial"/>
        <w:sz w:val="22"/>
        <w:szCs w:val="22"/>
      </w:rPr>
    </w:pPr>
    <w:r w:rsidRPr="003506D2">
      <w:rPr>
        <w:rFonts w:ascii="Arial" w:hAnsi="Arial" w:cs="Arial"/>
        <w:noProof/>
        <w:sz w:val="22"/>
        <w:szCs w:val="22"/>
        <w:lang w:val="el-GR" w:eastAsia="el-GR"/>
      </w:rPr>
      <w:drawing>
        <wp:anchor distT="0" distB="0" distL="114300" distR="114300" simplePos="0" relativeHeight="251661312" behindDoc="1" locked="0" layoutInCell="1" allowOverlap="1" wp14:anchorId="1402DE62" wp14:editId="4D1A069B">
          <wp:simplePos x="0" y="0"/>
          <wp:positionH relativeFrom="column">
            <wp:posOffset>-15240</wp:posOffset>
          </wp:positionH>
          <wp:positionV relativeFrom="paragraph">
            <wp:posOffset>-60960</wp:posOffset>
          </wp:positionV>
          <wp:extent cx="1939925" cy="428625"/>
          <wp:effectExtent l="0" t="0" r="3175" b="9525"/>
          <wp:wrapNone/>
          <wp:docPr id="4" name="Εικόνα 4" descr="SOL_CROWE_LOGO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L_CROWE_LOGO_FINAL"/>
                  <pic:cNvPicPr>
                    <a:picLocks noChangeAspect="1" noChangeArrowheads="1"/>
                  </pic:cNvPicPr>
                </pic:nvPicPr>
                <pic:blipFill>
                  <a:blip r:embed="rId1">
                    <a:extLst>
                      <a:ext uri="{28A0092B-C50C-407E-A947-70E740481C1C}">
                        <a14:useLocalDpi xmlns:a14="http://schemas.microsoft.com/office/drawing/2010/main" val="0"/>
                      </a:ext>
                    </a:extLst>
                  </a:blip>
                  <a:srcRect l="2344"/>
                  <a:stretch>
                    <a:fillRect/>
                  </a:stretch>
                </pic:blipFill>
                <pic:spPr bwMode="auto">
                  <a:xfrm>
                    <a:off x="0" y="0"/>
                    <a:ext cx="1939925" cy="4286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CAE1CD" w14:textId="77777777" w:rsidR="00250935" w:rsidRPr="003506D2" w:rsidRDefault="00250935" w:rsidP="003506D2">
    <w:pPr>
      <w:pStyle w:val="a5"/>
      <w:rPr>
        <w:rFonts w:ascii="Arial" w:hAnsi="Arial" w:cs="Arial"/>
        <w:sz w:val="22"/>
        <w:szCs w:val="22"/>
      </w:rPr>
    </w:pPr>
  </w:p>
  <w:p w14:paraId="31456112" w14:textId="77777777" w:rsidR="00250935" w:rsidRPr="003506D2" w:rsidRDefault="00250935" w:rsidP="003506D2">
    <w:pPr>
      <w:pStyle w:val="a5"/>
      <w:rPr>
        <w:rFonts w:ascii="Arial" w:hAnsi="Arial" w:cs="Arial"/>
        <w:sz w:val="22"/>
        <w:szCs w:val="22"/>
      </w:rPr>
    </w:pPr>
  </w:p>
  <w:p w14:paraId="4DA9C315" w14:textId="77777777" w:rsidR="00250935" w:rsidRPr="003506D2" w:rsidRDefault="00250935" w:rsidP="003506D2">
    <w:pPr>
      <w:pStyle w:val="a5"/>
      <w:rPr>
        <w:rFonts w:ascii="Arial" w:hAnsi="Arial" w:cs="Arial"/>
        <w:sz w:val="22"/>
        <w:szCs w:val="22"/>
      </w:rPr>
    </w:pPr>
  </w:p>
  <w:p w14:paraId="04ADEAC7" w14:textId="77777777" w:rsidR="00250935" w:rsidRPr="003506D2" w:rsidRDefault="00250935" w:rsidP="003506D2">
    <w:pPr>
      <w:pStyle w:val="a5"/>
      <w:rPr>
        <w:rFonts w:ascii="Arial" w:hAnsi="Arial" w:cs="Arial"/>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EABBE" w14:textId="77777777" w:rsidR="00250935" w:rsidRPr="003506D2" w:rsidRDefault="00250935" w:rsidP="003506D2">
    <w:pPr>
      <w:pStyle w:val="a5"/>
      <w:rPr>
        <w:rFonts w:ascii="Arial" w:hAnsi="Arial" w:cs="Arial"/>
        <w:sz w:val="22"/>
        <w:szCs w:val="22"/>
      </w:rPr>
    </w:pPr>
    <w:r w:rsidRPr="003506D2">
      <w:rPr>
        <w:rFonts w:ascii="Arial" w:hAnsi="Arial" w:cs="Arial"/>
        <w:noProof/>
        <w:sz w:val="22"/>
        <w:szCs w:val="22"/>
        <w:lang w:val="el-GR" w:eastAsia="el-GR"/>
      </w:rPr>
      <w:drawing>
        <wp:anchor distT="0" distB="0" distL="114300" distR="114300" simplePos="0" relativeHeight="251659264" behindDoc="1" locked="0" layoutInCell="1" allowOverlap="1" wp14:anchorId="7A7C3A34" wp14:editId="0AD1CB30">
          <wp:simplePos x="0" y="0"/>
          <wp:positionH relativeFrom="column">
            <wp:posOffset>-15240</wp:posOffset>
          </wp:positionH>
          <wp:positionV relativeFrom="paragraph">
            <wp:posOffset>-60960</wp:posOffset>
          </wp:positionV>
          <wp:extent cx="1939925" cy="428625"/>
          <wp:effectExtent l="0" t="0" r="3175" b="9525"/>
          <wp:wrapNone/>
          <wp:docPr id="1" name="Εικόνα 1" descr="SOL_CROWE_LOGO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L_CROWE_LOGO_FINAL"/>
                  <pic:cNvPicPr>
                    <a:picLocks noChangeAspect="1" noChangeArrowheads="1"/>
                  </pic:cNvPicPr>
                </pic:nvPicPr>
                <pic:blipFill>
                  <a:blip r:embed="rId1">
                    <a:extLst>
                      <a:ext uri="{28A0092B-C50C-407E-A947-70E740481C1C}">
                        <a14:useLocalDpi xmlns:a14="http://schemas.microsoft.com/office/drawing/2010/main" val="0"/>
                      </a:ext>
                    </a:extLst>
                  </a:blip>
                  <a:srcRect l="2344"/>
                  <a:stretch>
                    <a:fillRect/>
                  </a:stretch>
                </pic:blipFill>
                <pic:spPr bwMode="auto">
                  <a:xfrm>
                    <a:off x="0" y="0"/>
                    <a:ext cx="1939925" cy="4286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9F559D" w14:textId="77777777" w:rsidR="00250935" w:rsidRPr="003506D2" w:rsidRDefault="00250935" w:rsidP="003506D2">
    <w:pPr>
      <w:pStyle w:val="a5"/>
      <w:rPr>
        <w:rFonts w:ascii="Arial" w:hAnsi="Arial" w:cs="Arial"/>
        <w:sz w:val="22"/>
        <w:szCs w:val="22"/>
      </w:rPr>
    </w:pPr>
  </w:p>
  <w:p w14:paraId="24A44DB7" w14:textId="77777777" w:rsidR="00250935" w:rsidRPr="003506D2" w:rsidRDefault="00250935" w:rsidP="003506D2">
    <w:pPr>
      <w:pStyle w:val="a5"/>
      <w:rPr>
        <w:rFonts w:ascii="Arial" w:hAnsi="Arial" w:cs="Arial"/>
        <w:sz w:val="22"/>
        <w:szCs w:val="22"/>
      </w:rPr>
    </w:pPr>
  </w:p>
  <w:p w14:paraId="4E462B9D" w14:textId="77777777" w:rsidR="00250935" w:rsidRPr="003506D2" w:rsidRDefault="00250935" w:rsidP="003506D2">
    <w:pPr>
      <w:pStyle w:val="a5"/>
      <w:rPr>
        <w:rFonts w:ascii="Arial" w:hAnsi="Arial" w:cs="Arial"/>
        <w:sz w:val="22"/>
        <w:szCs w:val="22"/>
      </w:rPr>
    </w:pPr>
  </w:p>
  <w:p w14:paraId="75040078" w14:textId="77777777" w:rsidR="00250935" w:rsidRPr="003506D2" w:rsidRDefault="00250935" w:rsidP="003506D2">
    <w:pPr>
      <w:pStyle w:val="a5"/>
      <w:rPr>
        <w:rFonts w:ascii="Arial" w:hAnsi="Arial" w:cs="Arial"/>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EE34E" w14:textId="77777777" w:rsidR="00250935" w:rsidRDefault="00250935">
    <w:pPr>
      <w:pStyle w:val="a5"/>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D715C" w14:textId="77777777" w:rsidR="00250935" w:rsidRDefault="00250935">
    <w:pPr>
      <w:pStyle w:val="a5"/>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5898D" w14:textId="77777777" w:rsidR="00250935" w:rsidRDefault="00250935">
    <w:pPr>
      <w:pStyle w:val="a5"/>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475CF" w14:textId="77777777" w:rsidR="00250935" w:rsidRDefault="00250935">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683F9C"/>
    <w:multiLevelType w:val="hybridMultilevel"/>
    <w:tmpl w:val="FDA0A376"/>
    <w:lvl w:ilvl="0" w:tplc="0408000D">
      <w:start w:val="1"/>
      <w:numFmt w:val="bullet"/>
      <w:lvlText w:val=""/>
      <w:lvlJc w:val="left"/>
      <w:pPr>
        <w:ind w:left="1287" w:hanging="360"/>
      </w:pPr>
      <w:rPr>
        <w:rFonts w:ascii="Wingdings" w:hAnsi="Wingdings"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1" w15:restartNumberingAfterBreak="0">
    <w:nsid w:val="339E7842"/>
    <w:multiLevelType w:val="hybridMultilevel"/>
    <w:tmpl w:val="BD0C0F0A"/>
    <w:lvl w:ilvl="0" w:tplc="0408000B">
      <w:start w:val="1"/>
      <w:numFmt w:val="bullet"/>
      <w:lvlText w:val=""/>
      <w:lvlJc w:val="left"/>
      <w:pPr>
        <w:ind w:left="1287" w:hanging="360"/>
      </w:pPr>
      <w:rPr>
        <w:rFonts w:ascii="Wingdings" w:hAnsi="Wingdings"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2" w15:restartNumberingAfterBreak="0">
    <w:nsid w:val="43A713E0"/>
    <w:multiLevelType w:val="hybridMultilevel"/>
    <w:tmpl w:val="5680DFB4"/>
    <w:lvl w:ilvl="0" w:tplc="0408000B">
      <w:start w:val="1"/>
      <w:numFmt w:val="bullet"/>
      <w:lvlText w:val=""/>
      <w:lvlJc w:val="left"/>
      <w:pPr>
        <w:ind w:left="1287" w:hanging="360"/>
      </w:pPr>
      <w:rPr>
        <w:rFonts w:ascii="Wingdings" w:hAnsi="Wingdings"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3" w15:restartNumberingAfterBreak="0">
    <w:nsid w:val="47FC5474"/>
    <w:multiLevelType w:val="hybridMultilevel"/>
    <w:tmpl w:val="800A7EEE"/>
    <w:lvl w:ilvl="0" w:tplc="0408000D">
      <w:start w:val="1"/>
      <w:numFmt w:val="bullet"/>
      <w:lvlText w:val=""/>
      <w:lvlJc w:val="left"/>
      <w:pPr>
        <w:ind w:left="1287" w:hanging="360"/>
      </w:pPr>
      <w:rPr>
        <w:rFonts w:ascii="Wingdings" w:hAnsi="Wingdings"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4" w15:restartNumberingAfterBreak="0">
    <w:nsid w:val="4AC64018"/>
    <w:multiLevelType w:val="hybridMultilevel"/>
    <w:tmpl w:val="1904173A"/>
    <w:lvl w:ilvl="0" w:tplc="0408000B">
      <w:start w:val="1"/>
      <w:numFmt w:val="bullet"/>
      <w:lvlText w:val=""/>
      <w:lvlJc w:val="left"/>
      <w:pPr>
        <w:ind w:left="1287" w:hanging="360"/>
      </w:pPr>
      <w:rPr>
        <w:rFonts w:ascii="Wingdings" w:hAnsi="Wingdings"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5" w15:restartNumberingAfterBreak="0">
    <w:nsid w:val="5427145E"/>
    <w:multiLevelType w:val="hybridMultilevel"/>
    <w:tmpl w:val="26DE78BC"/>
    <w:lvl w:ilvl="0" w:tplc="0408000B">
      <w:start w:val="1"/>
      <w:numFmt w:val="bullet"/>
      <w:lvlText w:val=""/>
      <w:lvlJc w:val="left"/>
      <w:pPr>
        <w:ind w:left="1287" w:hanging="360"/>
      </w:pPr>
      <w:rPr>
        <w:rFonts w:ascii="Wingdings" w:hAnsi="Wingdings"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6" w15:restartNumberingAfterBreak="0">
    <w:nsid w:val="5DA7116C"/>
    <w:multiLevelType w:val="hybridMultilevel"/>
    <w:tmpl w:val="166A412E"/>
    <w:lvl w:ilvl="0" w:tplc="0408000B">
      <w:start w:val="1"/>
      <w:numFmt w:val="bullet"/>
      <w:lvlText w:val=""/>
      <w:lvlJc w:val="left"/>
      <w:pPr>
        <w:ind w:left="1287" w:hanging="360"/>
      </w:pPr>
      <w:rPr>
        <w:rFonts w:ascii="Wingdings" w:hAnsi="Wingdings"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7" w15:restartNumberingAfterBreak="0">
    <w:nsid w:val="65245F0D"/>
    <w:multiLevelType w:val="hybridMultilevel"/>
    <w:tmpl w:val="915AB018"/>
    <w:lvl w:ilvl="0" w:tplc="F8A44914">
      <w:start w:val="1"/>
      <w:numFmt w:val="bullet"/>
      <w:lvlText w:val=""/>
      <w:lvlJc w:val="left"/>
      <w:pPr>
        <w:ind w:left="720" w:hanging="360"/>
      </w:pPr>
      <w:rPr>
        <w:rFonts w:ascii="Symbol" w:hAnsi="Symbol" w:hint="default"/>
        <w:b w:val="0"/>
        <w:i w:val="0"/>
        <w:color w:val="auto"/>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6645DA0"/>
    <w:multiLevelType w:val="hybridMultilevel"/>
    <w:tmpl w:val="3F0E4A6E"/>
    <w:lvl w:ilvl="0" w:tplc="0408000B">
      <w:start w:val="1"/>
      <w:numFmt w:val="bullet"/>
      <w:lvlText w:val=""/>
      <w:lvlJc w:val="left"/>
      <w:pPr>
        <w:ind w:left="1287" w:hanging="360"/>
      </w:pPr>
      <w:rPr>
        <w:rFonts w:ascii="Wingdings" w:hAnsi="Wingdings"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9" w15:restartNumberingAfterBreak="0">
    <w:nsid w:val="67A85BFD"/>
    <w:multiLevelType w:val="hybridMultilevel"/>
    <w:tmpl w:val="A1FCD614"/>
    <w:lvl w:ilvl="0" w:tplc="0408000B">
      <w:start w:val="1"/>
      <w:numFmt w:val="bullet"/>
      <w:lvlText w:val=""/>
      <w:lvlJc w:val="left"/>
      <w:pPr>
        <w:ind w:left="1287" w:hanging="360"/>
      </w:pPr>
      <w:rPr>
        <w:rFonts w:ascii="Wingdings" w:hAnsi="Wingdings"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10" w15:restartNumberingAfterBreak="0">
    <w:nsid w:val="6A16278A"/>
    <w:multiLevelType w:val="hybridMultilevel"/>
    <w:tmpl w:val="2736BBD8"/>
    <w:lvl w:ilvl="0" w:tplc="0408000B">
      <w:start w:val="1"/>
      <w:numFmt w:val="bullet"/>
      <w:lvlText w:val=""/>
      <w:lvlJc w:val="left"/>
      <w:pPr>
        <w:ind w:left="1287" w:hanging="360"/>
      </w:pPr>
      <w:rPr>
        <w:rFonts w:ascii="Wingdings" w:hAnsi="Wingdings"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11" w15:restartNumberingAfterBreak="0">
    <w:nsid w:val="77CD5644"/>
    <w:multiLevelType w:val="hybridMultilevel"/>
    <w:tmpl w:val="5FAC9DE4"/>
    <w:lvl w:ilvl="0" w:tplc="0408000D">
      <w:start w:val="1"/>
      <w:numFmt w:val="bullet"/>
      <w:lvlText w:val=""/>
      <w:lvlJc w:val="left"/>
      <w:pPr>
        <w:ind w:left="1287" w:hanging="360"/>
      </w:pPr>
      <w:rPr>
        <w:rFonts w:ascii="Wingdings" w:hAnsi="Wingdings"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num w:numId="1">
    <w:abstractNumId w:val="10"/>
  </w:num>
  <w:num w:numId="2">
    <w:abstractNumId w:val="1"/>
  </w:num>
  <w:num w:numId="3">
    <w:abstractNumId w:val="6"/>
  </w:num>
  <w:num w:numId="4">
    <w:abstractNumId w:val="5"/>
  </w:num>
  <w:num w:numId="5">
    <w:abstractNumId w:val="2"/>
  </w:num>
  <w:num w:numId="6">
    <w:abstractNumId w:val="8"/>
  </w:num>
  <w:num w:numId="7">
    <w:abstractNumId w:val="4"/>
  </w:num>
  <w:num w:numId="8">
    <w:abstractNumId w:val="9"/>
  </w:num>
  <w:num w:numId="9">
    <w:abstractNumId w:val="0"/>
  </w:num>
  <w:num w:numId="10">
    <w:abstractNumId w:val="3"/>
  </w:num>
  <w:num w:numId="11">
    <w:abstractNumId w:val="11"/>
  </w:num>
  <w:num w:numId="12">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n-US"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13DF"/>
    <w:rsid w:val="0000266D"/>
    <w:rsid w:val="00004189"/>
    <w:rsid w:val="00004C87"/>
    <w:rsid w:val="00014975"/>
    <w:rsid w:val="00014FBB"/>
    <w:rsid w:val="00016E03"/>
    <w:rsid w:val="00024CC9"/>
    <w:rsid w:val="00030FD9"/>
    <w:rsid w:val="00032C39"/>
    <w:rsid w:val="0003365A"/>
    <w:rsid w:val="00041B4F"/>
    <w:rsid w:val="0004484B"/>
    <w:rsid w:val="00044A8E"/>
    <w:rsid w:val="00045418"/>
    <w:rsid w:val="00045752"/>
    <w:rsid w:val="00047A1E"/>
    <w:rsid w:val="00047EA1"/>
    <w:rsid w:val="000524C4"/>
    <w:rsid w:val="00053AC7"/>
    <w:rsid w:val="000544D9"/>
    <w:rsid w:val="00055A9A"/>
    <w:rsid w:val="00055C78"/>
    <w:rsid w:val="000565DD"/>
    <w:rsid w:val="0006356E"/>
    <w:rsid w:val="00064B23"/>
    <w:rsid w:val="000651AF"/>
    <w:rsid w:val="00070498"/>
    <w:rsid w:val="000709E1"/>
    <w:rsid w:val="00077504"/>
    <w:rsid w:val="000826EE"/>
    <w:rsid w:val="00084671"/>
    <w:rsid w:val="00090814"/>
    <w:rsid w:val="00090D99"/>
    <w:rsid w:val="000935E1"/>
    <w:rsid w:val="00093BB2"/>
    <w:rsid w:val="0009412C"/>
    <w:rsid w:val="00094E3E"/>
    <w:rsid w:val="00097AF3"/>
    <w:rsid w:val="000A192C"/>
    <w:rsid w:val="000A29B3"/>
    <w:rsid w:val="000A42DB"/>
    <w:rsid w:val="000B44BF"/>
    <w:rsid w:val="000B4C84"/>
    <w:rsid w:val="000B5DCE"/>
    <w:rsid w:val="000B6CAD"/>
    <w:rsid w:val="000C1A49"/>
    <w:rsid w:val="000C5897"/>
    <w:rsid w:val="000C6DC6"/>
    <w:rsid w:val="000D2B68"/>
    <w:rsid w:val="000D3A09"/>
    <w:rsid w:val="000D5AA6"/>
    <w:rsid w:val="000D6402"/>
    <w:rsid w:val="000D6471"/>
    <w:rsid w:val="000D6C23"/>
    <w:rsid w:val="000E5FDB"/>
    <w:rsid w:val="000E6BFE"/>
    <w:rsid w:val="000F0B34"/>
    <w:rsid w:val="000F126F"/>
    <w:rsid w:val="000F132F"/>
    <w:rsid w:val="000F13E8"/>
    <w:rsid w:val="000F1D81"/>
    <w:rsid w:val="001006E5"/>
    <w:rsid w:val="00100A33"/>
    <w:rsid w:val="00101AFC"/>
    <w:rsid w:val="001021AD"/>
    <w:rsid w:val="00102B39"/>
    <w:rsid w:val="001038A5"/>
    <w:rsid w:val="00105FEE"/>
    <w:rsid w:val="001065DA"/>
    <w:rsid w:val="00112117"/>
    <w:rsid w:val="00112A35"/>
    <w:rsid w:val="00112AC7"/>
    <w:rsid w:val="00113D01"/>
    <w:rsid w:val="00113FF0"/>
    <w:rsid w:val="00114CC7"/>
    <w:rsid w:val="00121467"/>
    <w:rsid w:val="001308CF"/>
    <w:rsid w:val="00132823"/>
    <w:rsid w:val="001332AE"/>
    <w:rsid w:val="001418E7"/>
    <w:rsid w:val="00144CB0"/>
    <w:rsid w:val="00144FE1"/>
    <w:rsid w:val="0015634B"/>
    <w:rsid w:val="00156853"/>
    <w:rsid w:val="00156EBE"/>
    <w:rsid w:val="00156F3A"/>
    <w:rsid w:val="0015712B"/>
    <w:rsid w:val="00171C2D"/>
    <w:rsid w:val="00176C4F"/>
    <w:rsid w:val="00180837"/>
    <w:rsid w:val="001832CD"/>
    <w:rsid w:val="00186F43"/>
    <w:rsid w:val="00190591"/>
    <w:rsid w:val="001916D9"/>
    <w:rsid w:val="00193637"/>
    <w:rsid w:val="00194426"/>
    <w:rsid w:val="001961F3"/>
    <w:rsid w:val="00197F1F"/>
    <w:rsid w:val="001A1E85"/>
    <w:rsid w:val="001A260B"/>
    <w:rsid w:val="001B0439"/>
    <w:rsid w:val="001B12BB"/>
    <w:rsid w:val="001B1FB1"/>
    <w:rsid w:val="001B4C86"/>
    <w:rsid w:val="001B510C"/>
    <w:rsid w:val="001B5531"/>
    <w:rsid w:val="001B6037"/>
    <w:rsid w:val="001C371E"/>
    <w:rsid w:val="001C7C16"/>
    <w:rsid w:val="001D11B6"/>
    <w:rsid w:val="001D3A9B"/>
    <w:rsid w:val="001D4798"/>
    <w:rsid w:val="001D6B0E"/>
    <w:rsid w:val="001E115A"/>
    <w:rsid w:val="001E179B"/>
    <w:rsid w:val="001E3148"/>
    <w:rsid w:val="001E5129"/>
    <w:rsid w:val="001F1683"/>
    <w:rsid w:val="001F1B9E"/>
    <w:rsid w:val="001F2B44"/>
    <w:rsid w:val="001F4FB0"/>
    <w:rsid w:val="00202BAF"/>
    <w:rsid w:val="00207BAA"/>
    <w:rsid w:val="0021160A"/>
    <w:rsid w:val="00212895"/>
    <w:rsid w:val="00213939"/>
    <w:rsid w:val="00214255"/>
    <w:rsid w:val="00216651"/>
    <w:rsid w:val="002252C0"/>
    <w:rsid w:val="00226B16"/>
    <w:rsid w:val="00232F11"/>
    <w:rsid w:val="00235106"/>
    <w:rsid w:val="00235A1C"/>
    <w:rsid w:val="00237B13"/>
    <w:rsid w:val="002419A0"/>
    <w:rsid w:val="00244101"/>
    <w:rsid w:val="00246FF9"/>
    <w:rsid w:val="00250935"/>
    <w:rsid w:val="002526A5"/>
    <w:rsid w:val="00253B1B"/>
    <w:rsid w:val="00255D28"/>
    <w:rsid w:val="00256220"/>
    <w:rsid w:val="00256843"/>
    <w:rsid w:val="00257F20"/>
    <w:rsid w:val="002617E7"/>
    <w:rsid w:val="0026382D"/>
    <w:rsid w:val="00263CCC"/>
    <w:rsid w:val="00264CF4"/>
    <w:rsid w:val="0026516C"/>
    <w:rsid w:val="00265B5C"/>
    <w:rsid w:val="00266E90"/>
    <w:rsid w:val="002741BC"/>
    <w:rsid w:val="00275610"/>
    <w:rsid w:val="002759EB"/>
    <w:rsid w:val="0027631D"/>
    <w:rsid w:val="002869B1"/>
    <w:rsid w:val="00292E8B"/>
    <w:rsid w:val="002931B4"/>
    <w:rsid w:val="002967C2"/>
    <w:rsid w:val="002A35F0"/>
    <w:rsid w:val="002A5A7B"/>
    <w:rsid w:val="002A6E10"/>
    <w:rsid w:val="002B3330"/>
    <w:rsid w:val="002B7BC9"/>
    <w:rsid w:val="002C6135"/>
    <w:rsid w:val="002C7210"/>
    <w:rsid w:val="002D378E"/>
    <w:rsid w:val="002D3A63"/>
    <w:rsid w:val="002E1004"/>
    <w:rsid w:val="002E36E9"/>
    <w:rsid w:val="002E3EFC"/>
    <w:rsid w:val="002E5DD3"/>
    <w:rsid w:val="002F36A2"/>
    <w:rsid w:val="002F642D"/>
    <w:rsid w:val="002F76D1"/>
    <w:rsid w:val="00301740"/>
    <w:rsid w:val="003019C0"/>
    <w:rsid w:val="0030458D"/>
    <w:rsid w:val="0030775F"/>
    <w:rsid w:val="00310CC1"/>
    <w:rsid w:val="00312F23"/>
    <w:rsid w:val="00315D87"/>
    <w:rsid w:val="00317116"/>
    <w:rsid w:val="003204E2"/>
    <w:rsid w:val="00321815"/>
    <w:rsid w:val="00322EB4"/>
    <w:rsid w:val="003231FF"/>
    <w:rsid w:val="00324A6F"/>
    <w:rsid w:val="0033212F"/>
    <w:rsid w:val="00333D32"/>
    <w:rsid w:val="00334F8F"/>
    <w:rsid w:val="00335EF0"/>
    <w:rsid w:val="00342C4A"/>
    <w:rsid w:val="00343832"/>
    <w:rsid w:val="0034590B"/>
    <w:rsid w:val="00345C8B"/>
    <w:rsid w:val="003463DA"/>
    <w:rsid w:val="00350242"/>
    <w:rsid w:val="003506D2"/>
    <w:rsid w:val="0035127F"/>
    <w:rsid w:val="00351801"/>
    <w:rsid w:val="00352B7C"/>
    <w:rsid w:val="003554D4"/>
    <w:rsid w:val="00356F58"/>
    <w:rsid w:val="0035719E"/>
    <w:rsid w:val="00360BB0"/>
    <w:rsid w:val="00361B4F"/>
    <w:rsid w:val="00363CB6"/>
    <w:rsid w:val="0036738C"/>
    <w:rsid w:val="00367F0E"/>
    <w:rsid w:val="00370435"/>
    <w:rsid w:val="00372E08"/>
    <w:rsid w:val="003765C4"/>
    <w:rsid w:val="00377285"/>
    <w:rsid w:val="00384084"/>
    <w:rsid w:val="00384526"/>
    <w:rsid w:val="00387974"/>
    <w:rsid w:val="003908C1"/>
    <w:rsid w:val="0039175F"/>
    <w:rsid w:val="00391CC4"/>
    <w:rsid w:val="003937A7"/>
    <w:rsid w:val="00393F36"/>
    <w:rsid w:val="00394A9A"/>
    <w:rsid w:val="003A0B7F"/>
    <w:rsid w:val="003A3EB5"/>
    <w:rsid w:val="003A6417"/>
    <w:rsid w:val="003A642F"/>
    <w:rsid w:val="003B0ED9"/>
    <w:rsid w:val="003B38A3"/>
    <w:rsid w:val="003B4110"/>
    <w:rsid w:val="003B7244"/>
    <w:rsid w:val="003B76F2"/>
    <w:rsid w:val="003B7961"/>
    <w:rsid w:val="003C105D"/>
    <w:rsid w:val="003C1CFA"/>
    <w:rsid w:val="003C1E34"/>
    <w:rsid w:val="003C4B95"/>
    <w:rsid w:val="003C7FD9"/>
    <w:rsid w:val="003D5932"/>
    <w:rsid w:val="003D598E"/>
    <w:rsid w:val="003D79B0"/>
    <w:rsid w:val="003E3F4D"/>
    <w:rsid w:val="003E40A5"/>
    <w:rsid w:val="003E7FD4"/>
    <w:rsid w:val="003F2A7C"/>
    <w:rsid w:val="003F2BDF"/>
    <w:rsid w:val="003F61E9"/>
    <w:rsid w:val="003F7271"/>
    <w:rsid w:val="004005AE"/>
    <w:rsid w:val="00401FF5"/>
    <w:rsid w:val="00402079"/>
    <w:rsid w:val="00402683"/>
    <w:rsid w:val="00402FFA"/>
    <w:rsid w:val="004047B5"/>
    <w:rsid w:val="00412254"/>
    <w:rsid w:val="00414E12"/>
    <w:rsid w:val="00415717"/>
    <w:rsid w:val="004163D0"/>
    <w:rsid w:val="004220D1"/>
    <w:rsid w:val="0042763F"/>
    <w:rsid w:val="00434FDD"/>
    <w:rsid w:val="0043517B"/>
    <w:rsid w:val="00442E06"/>
    <w:rsid w:val="0044417C"/>
    <w:rsid w:val="00445367"/>
    <w:rsid w:val="00451784"/>
    <w:rsid w:val="004557D7"/>
    <w:rsid w:val="00456A85"/>
    <w:rsid w:val="00466266"/>
    <w:rsid w:val="004715E9"/>
    <w:rsid w:val="004730E8"/>
    <w:rsid w:val="00474BEE"/>
    <w:rsid w:val="004761F9"/>
    <w:rsid w:val="00476A81"/>
    <w:rsid w:val="00476D3C"/>
    <w:rsid w:val="004777D5"/>
    <w:rsid w:val="00483294"/>
    <w:rsid w:val="004834A2"/>
    <w:rsid w:val="004841CE"/>
    <w:rsid w:val="0048530C"/>
    <w:rsid w:val="0048746C"/>
    <w:rsid w:val="0049522E"/>
    <w:rsid w:val="00496B2A"/>
    <w:rsid w:val="00497C41"/>
    <w:rsid w:val="004A01BC"/>
    <w:rsid w:val="004A0D3A"/>
    <w:rsid w:val="004A2266"/>
    <w:rsid w:val="004A34FA"/>
    <w:rsid w:val="004A3D5A"/>
    <w:rsid w:val="004A70C7"/>
    <w:rsid w:val="004A7895"/>
    <w:rsid w:val="004A7DA3"/>
    <w:rsid w:val="004B037F"/>
    <w:rsid w:val="004B03D1"/>
    <w:rsid w:val="004B198A"/>
    <w:rsid w:val="004B22B7"/>
    <w:rsid w:val="004B4DE7"/>
    <w:rsid w:val="004B5E59"/>
    <w:rsid w:val="004B67B5"/>
    <w:rsid w:val="004C48E6"/>
    <w:rsid w:val="004C610A"/>
    <w:rsid w:val="004C64C4"/>
    <w:rsid w:val="004C70CE"/>
    <w:rsid w:val="004D0EE1"/>
    <w:rsid w:val="004D20D6"/>
    <w:rsid w:val="004F1381"/>
    <w:rsid w:val="004F5314"/>
    <w:rsid w:val="004F6CAE"/>
    <w:rsid w:val="005018E8"/>
    <w:rsid w:val="00502001"/>
    <w:rsid w:val="00503C91"/>
    <w:rsid w:val="0050501C"/>
    <w:rsid w:val="005077E1"/>
    <w:rsid w:val="00514888"/>
    <w:rsid w:val="00515793"/>
    <w:rsid w:val="005157F3"/>
    <w:rsid w:val="005162F5"/>
    <w:rsid w:val="0052159C"/>
    <w:rsid w:val="00523C3C"/>
    <w:rsid w:val="00525797"/>
    <w:rsid w:val="00525929"/>
    <w:rsid w:val="00525E7F"/>
    <w:rsid w:val="005262D8"/>
    <w:rsid w:val="00531965"/>
    <w:rsid w:val="005357F1"/>
    <w:rsid w:val="00535A78"/>
    <w:rsid w:val="0053644B"/>
    <w:rsid w:val="00536A1A"/>
    <w:rsid w:val="00537B03"/>
    <w:rsid w:val="00540EA6"/>
    <w:rsid w:val="005416A0"/>
    <w:rsid w:val="00541A30"/>
    <w:rsid w:val="00546F3F"/>
    <w:rsid w:val="005476CB"/>
    <w:rsid w:val="005502C2"/>
    <w:rsid w:val="005525E5"/>
    <w:rsid w:val="00552668"/>
    <w:rsid w:val="005529C7"/>
    <w:rsid w:val="00555B5F"/>
    <w:rsid w:val="00562CCA"/>
    <w:rsid w:val="005649C6"/>
    <w:rsid w:val="0057206B"/>
    <w:rsid w:val="00573BE5"/>
    <w:rsid w:val="00575902"/>
    <w:rsid w:val="005759FC"/>
    <w:rsid w:val="00576847"/>
    <w:rsid w:val="00576ABC"/>
    <w:rsid w:val="005812A6"/>
    <w:rsid w:val="005824A8"/>
    <w:rsid w:val="00582D22"/>
    <w:rsid w:val="005849EE"/>
    <w:rsid w:val="00586019"/>
    <w:rsid w:val="00586333"/>
    <w:rsid w:val="00586D07"/>
    <w:rsid w:val="00587FFA"/>
    <w:rsid w:val="00590295"/>
    <w:rsid w:val="00595C7D"/>
    <w:rsid w:val="005A4028"/>
    <w:rsid w:val="005A6978"/>
    <w:rsid w:val="005A7958"/>
    <w:rsid w:val="005B22A4"/>
    <w:rsid w:val="005B4BF6"/>
    <w:rsid w:val="005B644D"/>
    <w:rsid w:val="005B7D7F"/>
    <w:rsid w:val="005C02EA"/>
    <w:rsid w:val="005C1358"/>
    <w:rsid w:val="005D1490"/>
    <w:rsid w:val="005D16F6"/>
    <w:rsid w:val="005D2609"/>
    <w:rsid w:val="005D3081"/>
    <w:rsid w:val="005E4998"/>
    <w:rsid w:val="005E4C6B"/>
    <w:rsid w:val="005E6853"/>
    <w:rsid w:val="005E6DC2"/>
    <w:rsid w:val="005F0E61"/>
    <w:rsid w:val="005F493E"/>
    <w:rsid w:val="00600203"/>
    <w:rsid w:val="00602DDB"/>
    <w:rsid w:val="00603769"/>
    <w:rsid w:val="00605AEE"/>
    <w:rsid w:val="006065B5"/>
    <w:rsid w:val="00606B3E"/>
    <w:rsid w:val="00606EE8"/>
    <w:rsid w:val="00614F01"/>
    <w:rsid w:val="00620C86"/>
    <w:rsid w:val="00621154"/>
    <w:rsid w:val="00622784"/>
    <w:rsid w:val="00635E18"/>
    <w:rsid w:val="00636875"/>
    <w:rsid w:val="00640BF1"/>
    <w:rsid w:val="0064159A"/>
    <w:rsid w:val="00641B8B"/>
    <w:rsid w:val="00642357"/>
    <w:rsid w:val="0064360C"/>
    <w:rsid w:val="0064474A"/>
    <w:rsid w:val="006472CB"/>
    <w:rsid w:val="0064795C"/>
    <w:rsid w:val="00647BE1"/>
    <w:rsid w:val="006553E2"/>
    <w:rsid w:val="00656F26"/>
    <w:rsid w:val="006619F0"/>
    <w:rsid w:val="00661C78"/>
    <w:rsid w:val="00663931"/>
    <w:rsid w:val="006673C6"/>
    <w:rsid w:val="00670839"/>
    <w:rsid w:val="00671919"/>
    <w:rsid w:val="00674D8A"/>
    <w:rsid w:val="0067551A"/>
    <w:rsid w:val="006851FD"/>
    <w:rsid w:val="00685A75"/>
    <w:rsid w:val="006876B2"/>
    <w:rsid w:val="00687B12"/>
    <w:rsid w:val="00691016"/>
    <w:rsid w:val="006949A7"/>
    <w:rsid w:val="00695028"/>
    <w:rsid w:val="00696F4E"/>
    <w:rsid w:val="006A3F94"/>
    <w:rsid w:val="006A4687"/>
    <w:rsid w:val="006A4F5A"/>
    <w:rsid w:val="006A5455"/>
    <w:rsid w:val="006B2268"/>
    <w:rsid w:val="006B245F"/>
    <w:rsid w:val="006B4C56"/>
    <w:rsid w:val="006B570B"/>
    <w:rsid w:val="006C333F"/>
    <w:rsid w:val="006C45D7"/>
    <w:rsid w:val="006C47D8"/>
    <w:rsid w:val="006C7368"/>
    <w:rsid w:val="006D01D4"/>
    <w:rsid w:val="006D0CA0"/>
    <w:rsid w:val="006D1CE9"/>
    <w:rsid w:val="006D4592"/>
    <w:rsid w:val="006D6F7B"/>
    <w:rsid w:val="006D73D4"/>
    <w:rsid w:val="006D7F81"/>
    <w:rsid w:val="006E08FB"/>
    <w:rsid w:val="006E0B83"/>
    <w:rsid w:val="006E3DC2"/>
    <w:rsid w:val="006E4E88"/>
    <w:rsid w:val="006F1862"/>
    <w:rsid w:val="006F24F9"/>
    <w:rsid w:val="006F2EF8"/>
    <w:rsid w:val="00702EB5"/>
    <w:rsid w:val="00704672"/>
    <w:rsid w:val="00711D21"/>
    <w:rsid w:val="00711F5F"/>
    <w:rsid w:val="007135DF"/>
    <w:rsid w:val="00713F0B"/>
    <w:rsid w:val="007159E9"/>
    <w:rsid w:val="0071705B"/>
    <w:rsid w:val="00720570"/>
    <w:rsid w:val="00720849"/>
    <w:rsid w:val="00720892"/>
    <w:rsid w:val="0072137D"/>
    <w:rsid w:val="00722933"/>
    <w:rsid w:val="00726162"/>
    <w:rsid w:val="00726427"/>
    <w:rsid w:val="00726470"/>
    <w:rsid w:val="00727093"/>
    <w:rsid w:val="00730400"/>
    <w:rsid w:val="00730B29"/>
    <w:rsid w:val="00730C1F"/>
    <w:rsid w:val="007323BC"/>
    <w:rsid w:val="00732662"/>
    <w:rsid w:val="00737439"/>
    <w:rsid w:val="0073773C"/>
    <w:rsid w:val="00743900"/>
    <w:rsid w:val="00743AF3"/>
    <w:rsid w:val="00747BBF"/>
    <w:rsid w:val="0075005E"/>
    <w:rsid w:val="00751123"/>
    <w:rsid w:val="00751887"/>
    <w:rsid w:val="007550D1"/>
    <w:rsid w:val="0075636C"/>
    <w:rsid w:val="00756513"/>
    <w:rsid w:val="00756B9F"/>
    <w:rsid w:val="00757270"/>
    <w:rsid w:val="00760975"/>
    <w:rsid w:val="00762095"/>
    <w:rsid w:val="007625E3"/>
    <w:rsid w:val="00763613"/>
    <w:rsid w:val="00763E26"/>
    <w:rsid w:val="007647C0"/>
    <w:rsid w:val="0077094D"/>
    <w:rsid w:val="00773A64"/>
    <w:rsid w:val="00775F6A"/>
    <w:rsid w:val="00775FB5"/>
    <w:rsid w:val="007762B5"/>
    <w:rsid w:val="00777970"/>
    <w:rsid w:val="007814DB"/>
    <w:rsid w:val="00783881"/>
    <w:rsid w:val="00787E08"/>
    <w:rsid w:val="00791AA2"/>
    <w:rsid w:val="00792AFF"/>
    <w:rsid w:val="00795070"/>
    <w:rsid w:val="007966B3"/>
    <w:rsid w:val="007A008F"/>
    <w:rsid w:val="007A2718"/>
    <w:rsid w:val="007A28F7"/>
    <w:rsid w:val="007A360D"/>
    <w:rsid w:val="007A5CAF"/>
    <w:rsid w:val="007A74F8"/>
    <w:rsid w:val="007B13DF"/>
    <w:rsid w:val="007B25E2"/>
    <w:rsid w:val="007B74B3"/>
    <w:rsid w:val="007C16BC"/>
    <w:rsid w:val="007C4D9D"/>
    <w:rsid w:val="007C6046"/>
    <w:rsid w:val="007C77C4"/>
    <w:rsid w:val="007C7A23"/>
    <w:rsid w:val="007C7C9D"/>
    <w:rsid w:val="007D10CD"/>
    <w:rsid w:val="007D2296"/>
    <w:rsid w:val="007D36F9"/>
    <w:rsid w:val="007D397A"/>
    <w:rsid w:val="007D3ABF"/>
    <w:rsid w:val="007D5488"/>
    <w:rsid w:val="007E3AC2"/>
    <w:rsid w:val="007E5C75"/>
    <w:rsid w:val="007E71A8"/>
    <w:rsid w:val="007F3E14"/>
    <w:rsid w:val="007F562A"/>
    <w:rsid w:val="00800DA0"/>
    <w:rsid w:val="0080146B"/>
    <w:rsid w:val="00801D48"/>
    <w:rsid w:val="00802A05"/>
    <w:rsid w:val="00804C01"/>
    <w:rsid w:val="0080505C"/>
    <w:rsid w:val="0080629F"/>
    <w:rsid w:val="00806ABC"/>
    <w:rsid w:val="00810E59"/>
    <w:rsid w:val="008115D1"/>
    <w:rsid w:val="00812642"/>
    <w:rsid w:val="008136AA"/>
    <w:rsid w:val="00822F62"/>
    <w:rsid w:val="0082397E"/>
    <w:rsid w:val="00823ECE"/>
    <w:rsid w:val="00833C71"/>
    <w:rsid w:val="0083580B"/>
    <w:rsid w:val="00836B3E"/>
    <w:rsid w:val="00845855"/>
    <w:rsid w:val="008477D2"/>
    <w:rsid w:val="008507F9"/>
    <w:rsid w:val="0085115D"/>
    <w:rsid w:val="0085693D"/>
    <w:rsid w:val="0086219D"/>
    <w:rsid w:val="008648A7"/>
    <w:rsid w:val="008651A2"/>
    <w:rsid w:val="008737B6"/>
    <w:rsid w:val="00874993"/>
    <w:rsid w:val="00875156"/>
    <w:rsid w:val="00880694"/>
    <w:rsid w:val="00881285"/>
    <w:rsid w:val="00881E17"/>
    <w:rsid w:val="008827D6"/>
    <w:rsid w:val="00883BD8"/>
    <w:rsid w:val="00887C7B"/>
    <w:rsid w:val="00892F51"/>
    <w:rsid w:val="0089735C"/>
    <w:rsid w:val="008B64BE"/>
    <w:rsid w:val="008B73D9"/>
    <w:rsid w:val="008B76FD"/>
    <w:rsid w:val="008C0F8E"/>
    <w:rsid w:val="008C249A"/>
    <w:rsid w:val="008C4755"/>
    <w:rsid w:val="008C6842"/>
    <w:rsid w:val="008D6254"/>
    <w:rsid w:val="008D6B42"/>
    <w:rsid w:val="008D6B6E"/>
    <w:rsid w:val="008E1379"/>
    <w:rsid w:val="008E159B"/>
    <w:rsid w:val="008E1A74"/>
    <w:rsid w:val="008E204F"/>
    <w:rsid w:val="008F3263"/>
    <w:rsid w:val="008F3A60"/>
    <w:rsid w:val="008F406F"/>
    <w:rsid w:val="008F489A"/>
    <w:rsid w:val="00901471"/>
    <w:rsid w:val="00902440"/>
    <w:rsid w:val="0090275E"/>
    <w:rsid w:val="00902A0B"/>
    <w:rsid w:val="00911F7C"/>
    <w:rsid w:val="009127D3"/>
    <w:rsid w:val="00912F4D"/>
    <w:rsid w:val="00917343"/>
    <w:rsid w:val="009200E3"/>
    <w:rsid w:val="00926B76"/>
    <w:rsid w:val="009272BC"/>
    <w:rsid w:val="0092751B"/>
    <w:rsid w:val="00942BB3"/>
    <w:rsid w:val="009448EF"/>
    <w:rsid w:val="009463DA"/>
    <w:rsid w:val="00947E8B"/>
    <w:rsid w:val="00950F12"/>
    <w:rsid w:val="009532FB"/>
    <w:rsid w:val="009542E4"/>
    <w:rsid w:val="00960E32"/>
    <w:rsid w:val="00960F2E"/>
    <w:rsid w:val="00966DC6"/>
    <w:rsid w:val="00970455"/>
    <w:rsid w:val="00972CCF"/>
    <w:rsid w:val="00974788"/>
    <w:rsid w:val="00976220"/>
    <w:rsid w:val="009766D8"/>
    <w:rsid w:val="00977329"/>
    <w:rsid w:val="009809CE"/>
    <w:rsid w:val="00980A82"/>
    <w:rsid w:val="00980CDC"/>
    <w:rsid w:val="00981035"/>
    <w:rsid w:val="0098634E"/>
    <w:rsid w:val="00987B8F"/>
    <w:rsid w:val="009A06C2"/>
    <w:rsid w:val="009A4A4B"/>
    <w:rsid w:val="009A71F1"/>
    <w:rsid w:val="009B115D"/>
    <w:rsid w:val="009B2F72"/>
    <w:rsid w:val="009B37B2"/>
    <w:rsid w:val="009B619A"/>
    <w:rsid w:val="009C3302"/>
    <w:rsid w:val="009C6ABE"/>
    <w:rsid w:val="009C6D6F"/>
    <w:rsid w:val="009D1C0F"/>
    <w:rsid w:val="009D2A5D"/>
    <w:rsid w:val="009D6A6F"/>
    <w:rsid w:val="009E3195"/>
    <w:rsid w:val="009E45E8"/>
    <w:rsid w:val="009E6A0E"/>
    <w:rsid w:val="009E6EB2"/>
    <w:rsid w:val="009E738C"/>
    <w:rsid w:val="009E761E"/>
    <w:rsid w:val="009F1ECA"/>
    <w:rsid w:val="009F265C"/>
    <w:rsid w:val="009F5D51"/>
    <w:rsid w:val="009F6C7A"/>
    <w:rsid w:val="00A032D2"/>
    <w:rsid w:val="00A0392A"/>
    <w:rsid w:val="00A073DB"/>
    <w:rsid w:val="00A12EF0"/>
    <w:rsid w:val="00A131AE"/>
    <w:rsid w:val="00A140FF"/>
    <w:rsid w:val="00A1501A"/>
    <w:rsid w:val="00A15DB4"/>
    <w:rsid w:val="00A1694C"/>
    <w:rsid w:val="00A22A65"/>
    <w:rsid w:val="00A2303E"/>
    <w:rsid w:val="00A258EC"/>
    <w:rsid w:val="00A3789E"/>
    <w:rsid w:val="00A41206"/>
    <w:rsid w:val="00A42336"/>
    <w:rsid w:val="00A423AF"/>
    <w:rsid w:val="00A4364F"/>
    <w:rsid w:val="00A447BC"/>
    <w:rsid w:val="00A46847"/>
    <w:rsid w:val="00A52886"/>
    <w:rsid w:val="00A53C64"/>
    <w:rsid w:val="00A56D2D"/>
    <w:rsid w:val="00A575F7"/>
    <w:rsid w:val="00A63052"/>
    <w:rsid w:val="00A63ED0"/>
    <w:rsid w:val="00A64D4E"/>
    <w:rsid w:val="00A67715"/>
    <w:rsid w:val="00A70118"/>
    <w:rsid w:val="00A70963"/>
    <w:rsid w:val="00A7384F"/>
    <w:rsid w:val="00A7452B"/>
    <w:rsid w:val="00A760D1"/>
    <w:rsid w:val="00A77F0D"/>
    <w:rsid w:val="00A82FAC"/>
    <w:rsid w:val="00A84301"/>
    <w:rsid w:val="00A87F09"/>
    <w:rsid w:val="00A90843"/>
    <w:rsid w:val="00AA3025"/>
    <w:rsid w:val="00AA5806"/>
    <w:rsid w:val="00AA777E"/>
    <w:rsid w:val="00AB3CEB"/>
    <w:rsid w:val="00AB6ACF"/>
    <w:rsid w:val="00AB767D"/>
    <w:rsid w:val="00AC200E"/>
    <w:rsid w:val="00AC3611"/>
    <w:rsid w:val="00AC5AFA"/>
    <w:rsid w:val="00AC7B5E"/>
    <w:rsid w:val="00AC7C1D"/>
    <w:rsid w:val="00AD031F"/>
    <w:rsid w:val="00AD14E8"/>
    <w:rsid w:val="00AD347C"/>
    <w:rsid w:val="00AD4562"/>
    <w:rsid w:val="00AD64DF"/>
    <w:rsid w:val="00AF27E6"/>
    <w:rsid w:val="00AF314A"/>
    <w:rsid w:val="00AF70CE"/>
    <w:rsid w:val="00B0095A"/>
    <w:rsid w:val="00B02CCA"/>
    <w:rsid w:val="00B10990"/>
    <w:rsid w:val="00B1422C"/>
    <w:rsid w:val="00B145E1"/>
    <w:rsid w:val="00B149A6"/>
    <w:rsid w:val="00B15719"/>
    <w:rsid w:val="00B17FDA"/>
    <w:rsid w:val="00B21CDE"/>
    <w:rsid w:val="00B229E7"/>
    <w:rsid w:val="00B25EDB"/>
    <w:rsid w:val="00B324AB"/>
    <w:rsid w:val="00B32765"/>
    <w:rsid w:val="00B327AC"/>
    <w:rsid w:val="00B340CE"/>
    <w:rsid w:val="00B3432C"/>
    <w:rsid w:val="00B34338"/>
    <w:rsid w:val="00B34E6E"/>
    <w:rsid w:val="00B3587C"/>
    <w:rsid w:val="00B40088"/>
    <w:rsid w:val="00B45ADA"/>
    <w:rsid w:val="00B45E8E"/>
    <w:rsid w:val="00B45F92"/>
    <w:rsid w:val="00B478CE"/>
    <w:rsid w:val="00B479B9"/>
    <w:rsid w:val="00B516DF"/>
    <w:rsid w:val="00B51FE7"/>
    <w:rsid w:val="00B531B1"/>
    <w:rsid w:val="00B54C5A"/>
    <w:rsid w:val="00B56F15"/>
    <w:rsid w:val="00B60E04"/>
    <w:rsid w:val="00B61B53"/>
    <w:rsid w:val="00B626B8"/>
    <w:rsid w:val="00B65499"/>
    <w:rsid w:val="00B658FE"/>
    <w:rsid w:val="00B735FA"/>
    <w:rsid w:val="00B73794"/>
    <w:rsid w:val="00B73BBB"/>
    <w:rsid w:val="00B75C2B"/>
    <w:rsid w:val="00B82D0D"/>
    <w:rsid w:val="00B84BA5"/>
    <w:rsid w:val="00B97009"/>
    <w:rsid w:val="00BA3252"/>
    <w:rsid w:val="00BA57FE"/>
    <w:rsid w:val="00BB07F2"/>
    <w:rsid w:val="00BB1411"/>
    <w:rsid w:val="00BB1C71"/>
    <w:rsid w:val="00BB1FB5"/>
    <w:rsid w:val="00BB4991"/>
    <w:rsid w:val="00BC09EA"/>
    <w:rsid w:val="00BC2FF3"/>
    <w:rsid w:val="00BC3D7D"/>
    <w:rsid w:val="00BC5177"/>
    <w:rsid w:val="00BD4409"/>
    <w:rsid w:val="00BE193C"/>
    <w:rsid w:val="00BE1F78"/>
    <w:rsid w:val="00BE214B"/>
    <w:rsid w:val="00BE2324"/>
    <w:rsid w:val="00BE5E90"/>
    <w:rsid w:val="00BF22ED"/>
    <w:rsid w:val="00BF3669"/>
    <w:rsid w:val="00BF51FA"/>
    <w:rsid w:val="00C001B8"/>
    <w:rsid w:val="00C03D02"/>
    <w:rsid w:val="00C04271"/>
    <w:rsid w:val="00C0683F"/>
    <w:rsid w:val="00C132AD"/>
    <w:rsid w:val="00C15018"/>
    <w:rsid w:val="00C216F8"/>
    <w:rsid w:val="00C2626C"/>
    <w:rsid w:val="00C264F0"/>
    <w:rsid w:val="00C32AB0"/>
    <w:rsid w:val="00C34DED"/>
    <w:rsid w:val="00C36C5C"/>
    <w:rsid w:val="00C40B20"/>
    <w:rsid w:val="00C424C7"/>
    <w:rsid w:val="00C4596E"/>
    <w:rsid w:val="00C45DA9"/>
    <w:rsid w:val="00C50156"/>
    <w:rsid w:val="00C51461"/>
    <w:rsid w:val="00C539BA"/>
    <w:rsid w:val="00C53DB2"/>
    <w:rsid w:val="00C569B8"/>
    <w:rsid w:val="00C60ED3"/>
    <w:rsid w:val="00C62125"/>
    <w:rsid w:val="00C626CB"/>
    <w:rsid w:val="00C632F4"/>
    <w:rsid w:val="00C73817"/>
    <w:rsid w:val="00C74D88"/>
    <w:rsid w:val="00C74E45"/>
    <w:rsid w:val="00C75F51"/>
    <w:rsid w:val="00C761DE"/>
    <w:rsid w:val="00C76513"/>
    <w:rsid w:val="00C81B94"/>
    <w:rsid w:val="00C82386"/>
    <w:rsid w:val="00C82A08"/>
    <w:rsid w:val="00C82EF6"/>
    <w:rsid w:val="00C85F09"/>
    <w:rsid w:val="00C86575"/>
    <w:rsid w:val="00C866DF"/>
    <w:rsid w:val="00C94267"/>
    <w:rsid w:val="00C95C9F"/>
    <w:rsid w:val="00C97A80"/>
    <w:rsid w:val="00C97D48"/>
    <w:rsid w:val="00CA0D37"/>
    <w:rsid w:val="00CA2367"/>
    <w:rsid w:val="00CA307D"/>
    <w:rsid w:val="00CA6146"/>
    <w:rsid w:val="00CB1991"/>
    <w:rsid w:val="00CB63C7"/>
    <w:rsid w:val="00CC3B40"/>
    <w:rsid w:val="00CC478F"/>
    <w:rsid w:val="00CC6B96"/>
    <w:rsid w:val="00CC747A"/>
    <w:rsid w:val="00CD4A50"/>
    <w:rsid w:val="00CD58F7"/>
    <w:rsid w:val="00CE03DA"/>
    <w:rsid w:val="00CE3C1E"/>
    <w:rsid w:val="00CE4D55"/>
    <w:rsid w:val="00CF08D6"/>
    <w:rsid w:val="00CF1586"/>
    <w:rsid w:val="00CF57A4"/>
    <w:rsid w:val="00D03E27"/>
    <w:rsid w:val="00D0757D"/>
    <w:rsid w:val="00D10CCA"/>
    <w:rsid w:val="00D2100C"/>
    <w:rsid w:val="00D22245"/>
    <w:rsid w:val="00D26CEE"/>
    <w:rsid w:val="00D2764C"/>
    <w:rsid w:val="00D340A4"/>
    <w:rsid w:val="00D3458A"/>
    <w:rsid w:val="00D3586D"/>
    <w:rsid w:val="00D35D71"/>
    <w:rsid w:val="00D36CDD"/>
    <w:rsid w:val="00D40212"/>
    <w:rsid w:val="00D40E27"/>
    <w:rsid w:val="00D440A4"/>
    <w:rsid w:val="00D45B91"/>
    <w:rsid w:val="00D50140"/>
    <w:rsid w:val="00D55EFC"/>
    <w:rsid w:val="00D61C33"/>
    <w:rsid w:val="00D71343"/>
    <w:rsid w:val="00D72D1D"/>
    <w:rsid w:val="00D7335A"/>
    <w:rsid w:val="00D748D1"/>
    <w:rsid w:val="00D76E8D"/>
    <w:rsid w:val="00D8052E"/>
    <w:rsid w:val="00D8385E"/>
    <w:rsid w:val="00D83F86"/>
    <w:rsid w:val="00D846BF"/>
    <w:rsid w:val="00D84711"/>
    <w:rsid w:val="00D867E8"/>
    <w:rsid w:val="00D903FB"/>
    <w:rsid w:val="00DA0BAF"/>
    <w:rsid w:val="00DA29B3"/>
    <w:rsid w:val="00DA31FC"/>
    <w:rsid w:val="00DA7659"/>
    <w:rsid w:val="00DB2916"/>
    <w:rsid w:val="00DB60D5"/>
    <w:rsid w:val="00DB73BE"/>
    <w:rsid w:val="00DC2910"/>
    <w:rsid w:val="00DC5E67"/>
    <w:rsid w:val="00DC73B8"/>
    <w:rsid w:val="00DD015A"/>
    <w:rsid w:val="00DD055A"/>
    <w:rsid w:val="00DE04BB"/>
    <w:rsid w:val="00DE19B3"/>
    <w:rsid w:val="00DE4593"/>
    <w:rsid w:val="00DF2BB1"/>
    <w:rsid w:val="00DF4DBB"/>
    <w:rsid w:val="00DF4E27"/>
    <w:rsid w:val="00DF5032"/>
    <w:rsid w:val="00DF67BD"/>
    <w:rsid w:val="00DF6E17"/>
    <w:rsid w:val="00E02FD2"/>
    <w:rsid w:val="00E05991"/>
    <w:rsid w:val="00E0633F"/>
    <w:rsid w:val="00E10888"/>
    <w:rsid w:val="00E12DFB"/>
    <w:rsid w:val="00E147F6"/>
    <w:rsid w:val="00E14FFB"/>
    <w:rsid w:val="00E17246"/>
    <w:rsid w:val="00E202E5"/>
    <w:rsid w:val="00E21405"/>
    <w:rsid w:val="00E24828"/>
    <w:rsid w:val="00E26592"/>
    <w:rsid w:val="00E309AA"/>
    <w:rsid w:val="00E37AA2"/>
    <w:rsid w:val="00E42549"/>
    <w:rsid w:val="00E44418"/>
    <w:rsid w:val="00E44C4A"/>
    <w:rsid w:val="00E47EDF"/>
    <w:rsid w:val="00E52633"/>
    <w:rsid w:val="00E564B5"/>
    <w:rsid w:val="00E61FEE"/>
    <w:rsid w:val="00E628B7"/>
    <w:rsid w:val="00E6295C"/>
    <w:rsid w:val="00E6601E"/>
    <w:rsid w:val="00E6753D"/>
    <w:rsid w:val="00E71A9C"/>
    <w:rsid w:val="00E75D58"/>
    <w:rsid w:val="00E76EF3"/>
    <w:rsid w:val="00E853EF"/>
    <w:rsid w:val="00E85E69"/>
    <w:rsid w:val="00E86F8A"/>
    <w:rsid w:val="00E87A98"/>
    <w:rsid w:val="00E95FF1"/>
    <w:rsid w:val="00EA17C8"/>
    <w:rsid w:val="00EA3266"/>
    <w:rsid w:val="00EA458D"/>
    <w:rsid w:val="00EA51F2"/>
    <w:rsid w:val="00EA7128"/>
    <w:rsid w:val="00EB1141"/>
    <w:rsid w:val="00EB2101"/>
    <w:rsid w:val="00EB2225"/>
    <w:rsid w:val="00EB264D"/>
    <w:rsid w:val="00EB50A8"/>
    <w:rsid w:val="00EC06F3"/>
    <w:rsid w:val="00EC21EE"/>
    <w:rsid w:val="00EC64FD"/>
    <w:rsid w:val="00EC6C6D"/>
    <w:rsid w:val="00EC6DA0"/>
    <w:rsid w:val="00ED00F5"/>
    <w:rsid w:val="00ED1BD1"/>
    <w:rsid w:val="00ED35A4"/>
    <w:rsid w:val="00ED4669"/>
    <w:rsid w:val="00EE0025"/>
    <w:rsid w:val="00EE0CD5"/>
    <w:rsid w:val="00EE246B"/>
    <w:rsid w:val="00EE5733"/>
    <w:rsid w:val="00EE57E6"/>
    <w:rsid w:val="00EE5C92"/>
    <w:rsid w:val="00EE5D1B"/>
    <w:rsid w:val="00EE63C5"/>
    <w:rsid w:val="00EF0C92"/>
    <w:rsid w:val="00EF28E4"/>
    <w:rsid w:val="00EF6D27"/>
    <w:rsid w:val="00EF756E"/>
    <w:rsid w:val="00F02180"/>
    <w:rsid w:val="00F02822"/>
    <w:rsid w:val="00F0440E"/>
    <w:rsid w:val="00F10FB7"/>
    <w:rsid w:val="00F119AD"/>
    <w:rsid w:val="00F125A1"/>
    <w:rsid w:val="00F139DC"/>
    <w:rsid w:val="00F14887"/>
    <w:rsid w:val="00F14C81"/>
    <w:rsid w:val="00F155F4"/>
    <w:rsid w:val="00F17164"/>
    <w:rsid w:val="00F1745A"/>
    <w:rsid w:val="00F21CC8"/>
    <w:rsid w:val="00F2647B"/>
    <w:rsid w:val="00F2719B"/>
    <w:rsid w:val="00F31B8A"/>
    <w:rsid w:val="00F33C01"/>
    <w:rsid w:val="00F346D8"/>
    <w:rsid w:val="00F358BB"/>
    <w:rsid w:val="00F37434"/>
    <w:rsid w:val="00F443BD"/>
    <w:rsid w:val="00F51647"/>
    <w:rsid w:val="00F51FD6"/>
    <w:rsid w:val="00F534D0"/>
    <w:rsid w:val="00F53D21"/>
    <w:rsid w:val="00F62611"/>
    <w:rsid w:val="00F6444F"/>
    <w:rsid w:val="00F6726D"/>
    <w:rsid w:val="00F67482"/>
    <w:rsid w:val="00F7300E"/>
    <w:rsid w:val="00F74122"/>
    <w:rsid w:val="00F75E42"/>
    <w:rsid w:val="00F77FA8"/>
    <w:rsid w:val="00F808D4"/>
    <w:rsid w:val="00F83F93"/>
    <w:rsid w:val="00F83FE4"/>
    <w:rsid w:val="00F85B59"/>
    <w:rsid w:val="00F86817"/>
    <w:rsid w:val="00F86D93"/>
    <w:rsid w:val="00F87410"/>
    <w:rsid w:val="00F92643"/>
    <w:rsid w:val="00F92EA8"/>
    <w:rsid w:val="00F94265"/>
    <w:rsid w:val="00F96815"/>
    <w:rsid w:val="00F97421"/>
    <w:rsid w:val="00FA04DB"/>
    <w:rsid w:val="00FA0511"/>
    <w:rsid w:val="00FA12C0"/>
    <w:rsid w:val="00FA1548"/>
    <w:rsid w:val="00FA16B6"/>
    <w:rsid w:val="00FA1785"/>
    <w:rsid w:val="00FA2E40"/>
    <w:rsid w:val="00FA4D84"/>
    <w:rsid w:val="00FA7E5C"/>
    <w:rsid w:val="00FB30DF"/>
    <w:rsid w:val="00FB63DB"/>
    <w:rsid w:val="00FC0F5F"/>
    <w:rsid w:val="00FC253D"/>
    <w:rsid w:val="00FC27D7"/>
    <w:rsid w:val="00FC44B4"/>
    <w:rsid w:val="00FC48AF"/>
    <w:rsid w:val="00FC71A3"/>
    <w:rsid w:val="00FC7852"/>
    <w:rsid w:val="00FD3142"/>
    <w:rsid w:val="00FD4D95"/>
    <w:rsid w:val="00FD6307"/>
    <w:rsid w:val="00FD663D"/>
    <w:rsid w:val="00FE30F2"/>
    <w:rsid w:val="00FE4A6E"/>
    <w:rsid w:val="00FE6967"/>
    <w:rsid w:val="00FE7A28"/>
    <w:rsid w:val="00FF1998"/>
    <w:rsid w:val="00FF2F42"/>
    <w:rsid w:val="00FF3764"/>
    <w:rsid w:val="00FF52A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E0100D9"/>
  <w15:docId w15:val="{815D40B1-4F2E-4F35-BD3B-4C2657EB3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C6B96"/>
    <w:rPr>
      <w:sz w:val="24"/>
      <w:szCs w:val="24"/>
    </w:rPr>
  </w:style>
  <w:style w:type="paragraph" w:styleId="1">
    <w:name w:val="heading 1"/>
    <w:basedOn w:val="a"/>
    <w:next w:val="a"/>
    <w:link w:val="1Char"/>
    <w:qFormat/>
    <w:rsid w:val="00FF2F42"/>
    <w:pPr>
      <w:keepNext/>
      <w:jc w:val="center"/>
      <w:outlineLvl w:val="0"/>
    </w:pPr>
    <w:rPr>
      <w:b/>
      <w:bCs/>
      <w:lang w:val="x-none" w:eastAsia="en-US"/>
    </w:rPr>
  </w:style>
  <w:style w:type="paragraph" w:styleId="2">
    <w:name w:val="heading 2"/>
    <w:basedOn w:val="a"/>
    <w:next w:val="a"/>
    <w:link w:val="2Char"/>
    <w:uiPriority w:val="9"/>
    <w:semiHidden/>
    <w:unhideWhenUsed/>
    <w:qFormat/>
    <w:rsid w:val="00F77FA8"/>
    <w:pPr>
      <w:keepNext/>
      <w:keepLines/>
      <w:spacing w:before="200"/>
      <w:outlineLvl w:val="1"/>
    </w:pPr>
    <w:rPr>
      <w:rFonts w:ascii="Cambria" w:hAnsi="Cambria"/>
      <w:b/>
      <w:bCs/>
      <w:color w:val="4F81BD"/>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0">
    <w:name w:val="toc 1"/>
    <w:basedOn w:val="a"/>
    <w:next w:val="a"/>
    <w:autoRedefine/>
    <w:uiPriority w:val="39"/>
    <w:rsid w:val="002B3330"/>
    <w:pPr>
      <w:tabs>
        <w:tab w:val="right" w:leader="dot" w:pos="9356"/>
      </w:tabs>
    </w:pPr>
    <w:rPr>
      <w:rFonts w:ascii="Tahoma" w:hAnsi="Tahoma"/>
      <w:sz w:val="20"/>
    </w:rPr>
  </w:style>
  <w:style w:type="table" w:styleId="a3">
    <w:name w:val="Table Grid"/>
    <w:basedOn w:val="a1"/>
    <w:rsid w:val="00DA29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6B245F"/>
    <w:rPr>
      <w:rFonts w:ascii="Tahoma" w:hAnsi="Tahoma" w:cs="Tahoma"/>
      <w:sz w:val="16"/>
      <w:szCs w:val="16"/>
    </w:rPr>
  </w:style>
  <w:style w:type="paragraph" w:styleId="a5">
    <w:name w:val="header"/>
    <w:basedOn w:val="a"/>
    <w:link w:val="Char"/>
    <w:qFormat/>
    <w:rsid w:val="002526A5"/>
    <w:pPr>
      <w:tabs>
        <w:tab w:val="center" w:pos="4153"/>
        <w:tab w:val="right" w:pos="8306"/>
      </w:tabs>
    </w:pPr>
    <w:rPr>
      <w:lang w:val="x-none" w:eastAsia="x-none"/>
    </w:rPr>
  </w:style>
  <w:style w:type="paragraph" w:styleId="a6">
    <w:name w:val="footer"/>
    <w:basedOn w:val="a"/>
    <w:link w:val="Char0"/>
    <w:uiPriority w:val="99"/>
    <w:rsid w:val="002526A5"/>
    <w:pPr>
      <w:tabs>
        <w:tab w:val="center" w:pos="4153"/>
        <w:tab w:val="right" w:pos="8306"/>
      </w:tabs>
    </w:pPr>
    <w:rPr>
      <w:lang w:val="x-none" w:eastAsia="x-none"/>
    </w:rPr>
  </w:style>
  <w:style w:type="character" w:styleId="a7">
    <w:name w:val="page number"/>
    <w:basedOn w:val="a0"/>
    <w:rsid w:val="00A41206"/>
  </w:style>
  <w:style w:type="character" w:customStyle="1" w:styleId="FontStyle12">
    <w:name w:val="Font Style12"/>
    <w:uiPriority w:val="99"/>
    <w:rsid w:val="007F3E14"/>
    <w:rPr>
      <w:rFonts w:ascii="Times New Roman" w:hAnsi="Times New Roman" w:cs="Times New Roman"/>
      <w:sz w:val="22"/>
      <w:szCs w:val="22"/>
    </w:rPr>
  </w:style>
  <w:style w:type="character" w:customStyle="1" w:styleId="1Char">
    <w:name w:val="Επικεφαλίδα 1 Char"/>
    <w:link w:val="1"/>
    <w:rsid w:val="00FF2F42"/>
    <w:rPr>
      <w:b/>
      <w:bCs/>
      <w:sz w:val="24"/>
      <w:szCs w:val="24"/>
      <w:lang w:eastAsia="en-US"/>
    </w:rPr>
  </w:style>
  <w:style w:type="paragraph" w:customStyle="1" w:styleId="Style5">
    <w:name w:val="Style5"/>
    <w:basedOn w:val="a"/>
    <w:uiPriority w:val="99"/>
    <w:rsid w:val="00FF2F42"/>
    <w:pPr>
      <w:widowControl w:val="0"/>
      <w:autoSpaceDE w:val="0"/>
      <w:autoSpaceDN w:val="0"/>
      <w:adjustRightInd w:val="0"/>
    </w:pPr>
  </w:style>
  <w:style w:type="character" w:customStyle="1" w:styleId="FontStyle49">
    <w:name w:val="Font Style49"/>
    <w:uiPriority w:val="99"/>
    <w:rsid w:val="00FF2F42"/>
    <w:rPr>
      <w:rFonts w:ascii="Times New Roman" w:hAnsi="Times New Roman" w:cs="Times New Roman"/>
      <w:b/>
      <w:bCs/>
      <w:sz w:val="20"/>
      <w:szCs w:val="20"/>
    </w:rPr>
  </w:style>
  <w:style w:type="character" w:customStyle="1" w:styleId="FontStyle69">
    <w:name w:val="Font Style69"/>
    <w:uiPriority w:val="99"/>
    <w:rsid w:val="00FF2F42"/>
    <w:rPr>
      <w:rFonts w:ascii="Arial Narrow" w:hAnsi="Arial Narrow" w:cs="Arial Narrow"/>
      <w:sz w:val="14"/>
      <w:szCs w:val="14"/>
    </w:rPr>
  </w:style>
  <w:style w:type="paragraph" w:styleId="a8">
    <w:name w:val="No Spacing"/>
    <w:uiPriority w:val="1"/>
    <w:qFormat/>
    <w:rsid w:val="00FF2F42"/>
    <w:rPr>
      <w:sz w:val="24"/>
      <w:szCs w:val="24"/>
    </w:rPr>
  </w:style>
  <w:style w:type="character" w:styleId="a9">
    <w:name w:val="footnote reference"/>
    <w:unhideWhenUsed/>
    <w:rsid w:val="00FF2F42"/>
    <w:rPr>
      <w:rFonts w:cs="Times New Roman"/>
      <w:vertAlign w:val="superscript"/>
    </w:rPr>
  </w:style>
  <w:style w:type="paragraph" w:customStyle="1" w:styleId="Style7">
    <w:name w:val="Style7"/>
    <w:basedOn w:val="a"/>
    <w:uiPriority w:val="99"/>
    <w:rsid w:val="00FF2F42"/>
    <w:pPr>
      <w:widowControl w:val="0"/>
      <w:autoSpaceDE w:val="0"/>
      <w:autoSpaceDN w:val="0"/>
      <w:adjustRightInd w:val="0"/>
      <w:jc w:val="both"/>
    </w:pPr>
  </w:style>
  <w:style w:type="paragraph" w:customStyle="1" w:styleId="Style4">
    <w:name w:val="Style4"/>
    <w:basedOn w:val="a"/>
    <w:uiPriority w:val="99"/>
    <w:rsid w:val="00FF2F42"/>
    <w:pPr>
      <w:widowControl w:val="0"/>
      <w:autoSpaceDE w:val="0"/>
      <w:autoSpaceDN w:val="0"/>
      <w:adjustRightInd w:val="0"/>
    </w:pPr>
  </w:style>
  <w:style w:type="paragraph" w:customStyle="1" w:styleId="Style10">
    <w:name w:val="Style10"/>
    <w:basedOn w:val="a"/>
    <w:uiPriority w:val="99"/>
    <w:rsid w:val="00FF2F42"/>
    <w:pPr>
      <w:widowControl w:val="0"/>
      <w:autoSpaceDE w:val="0"/>
      <w:autoSpaceDN w:val="0"/>
      <w:adjustRightInd w:val="0"/>
      <w:spacing w:line="269" w:lineRule="exact"/>
      <w:ind w:hanging="1099"/>
    </w:pPr>
  </w:style>
  <w:style w:type="paragraph" w:customStyle="1" w:styleId="Style15">
    <w:name w:val="Style15"/>
    <w:basedOn w:val="a"/>
    <w:uiPriority w:val="99"/>
    <w:rsid w:val="00FF2F42"/>
    <w:pPr>
      <w:widowControl w:val="0"/>
      <w:autoSpaceDE w:val="0"/>
      <w:autoSpaceDN w:val="0"/>
      <w:adjustRightInd w:val="0"/>
    </w:pPr>
  </w:style>
  <w:style w:type="paragraph" w:customStyle="1" w:styleId="Style22">
    <w:name w:val="Style22"/>
    <w:basedOn w:val="a"/>
    <w:uiPriority w:val="99"/>
    <w:rsid w:val="00FF2F42"/>
    <w:pPr>
      <w:widowControl w:val="0"/>
      <w:autoSpaceDE w:val="0"/>
      <w:autoSpaceDN w:val="0"/>
      <w:adjustRightInd w:val="0"/>
      <w:jc w:val="right"/>
    </w:pPr>
  </w:style>
  <w:style w:type="paragraph" w:customStyle="1" w:styleId="Style31">
    <w:name w:val="Style31"/>
    <w:basedOn w:val="a"/>
    <w:uiPriority w:val="99"/>
    <w:rsid w:val="00FF2F42"/>
    <w:pPr>
      <w:widowControl w:val="0"/>
      <w:autoSpaceDE w:val="0"/>
      <w:autoSpaceDN w:val="0"/>
      <w:adjustRightInd w:val="0"/>
    </w:pPr>
  </w:style>
  <w:style w:type="paragraph" w:customStyle="1" w:styleId="Style34">
    <w:name w:val="Style34"/>
    <w:basedOn w:val="a"/>
    <w:uiPriority w:val="99"/>
    <w:rsid w:val="00FF2F42"/>
    <w:pPr>
      <w:widowControl w:val="0"/>
      <w:autoSpaceDE w:val="0"/>
      <w:autoSpaceDN w:val="0"/>
      <w:adjustRightInd w:val="0"/>
      <w:spacing w:line="278" w:lineRule="exact"/>
      <w:jc w:val="right"/>
    </w:pPr>
  </w:style>
  <w:style w:type="paragraph" w:customStyle="1" w:styleId="Style36">
    <w:name w:val="Style36"/>
    <w:basedOn w:val="a"/>
    <w:uiPriority w:val="99"/>
    <w:rsid w:val="00FF2F42"/>
    <w:pPr>
      <w:widowControl w:val="0"/>
      <w:autoSpaceDE w:val="0"/>
      <w:autoSpaceDN w:val="0"/>
      <w:adjustRightInd w:val="0"/>
      <w:spacing w:line="283" w:lineRule="exact"/>
    </w:pPr>
  </w:style>
  <w:style w:type="character" w:customStyle="1" w:styleId="FontStyle60">
    <w:name w:val="Font Style60"/>
    <w:uiPriority w:val="99"/>
    <w:rsid w:val="00FF2F42"/>
    <w:rPr>
      <w:rFonts w:ascii="Times New Roman" w:hAnsi="Times New Roman" w:cs="Times New Roman"/>
      <w:sz w:val="22"/>
      <w:szCs w:val="22"/>
    </w:rPr>
  </w:style>
  <w:style w:type="character" w:customStyle="1" w:styleId="FontStyle61">
    <w:name w:val="Font Style61"/>
    <w:uiPriority w:val="99"/>
    <w:rsid w:val="00FF2F42"/>
    <w:rPr>
      <w:rFonts w:ascii="Calibri" w:hAnsi="Calibri" w:cs="Calibri"/>
      <w:sz w:val="20"/>
      <w:szCs w:val="20"/>
    </w:rPr>
  </w:style>
  <w:style w:type="character" w:customStyle="1" w:styleId="FontStyle62">
    <w:name w:val="Font Style62"/>
    <w:uiPriority w:val="99"/>
    <w:rsid w:val="00FF2F42"/>
    <w:rPr>
      <w:rFonts w:ascii="Calibri" w:hAnsi="Calibri" w:cs="Calibri"/>
      <w:sz w:val="16"/>
      <w:szCs w:val="16"/>
    </w:rPr>
  </w:style>
  <w:style w:type="character" w:customStyle="1" w:styleId="FontStyle56">
    <w:name w:val="Font Style56"/>
    <w:uiPriority w:val="99"/>
    <w:rsid w:val="00FF2F42"/>
    <w:rPr>
      <w:rFonts w:ascii="Book Antiqua" w:hAnsi="Book Antiqua" w:cs="Book Antiqua"/>
      <w:sz w:val="10"/>
      <w:szCs w:val="10"/>
    </w:rPr>
  </w:style>
  <w:style w:type="character" w:customStyle="1" w:styleId="FontStyle57">
    <w:name w:val="Font Style57"/>
    <w:uiPriority w:val="99"/>
    <w:rsid w:val="00FF2F42"/>
    <w:rPr>
      <w:rFonts w:ascii="Palatino Linotype" w:hAnsi="Palatino Linotype" w:cs="Palatino Linotype"/>
      <w:spacing w:val="30"/>
      <w:sz w:val="10"/>
      <w:szCs w:val="10"/>
    </w:rPr>
  </w:style>
  <w:style w:type="character" w:customStyle="1" w:styleId="FontStyle58">
    <w:name w:val="Font Style58"/>
    <w:uiPriority w:val="99"/>
    <w:rsid w:val="00FF2F42"/>
    <w:rPr>
      <w:rFonts w:ascii="Times New Roman" w:hAnsi="Times New Roman" w:cs="Times New Roman"/>
      <w:b/>
      <w:bCs/>
      <w:smallCaps/>
      <w:sz w:val="10"/>
      <w:szCs w:val="10"/>
    </w:rPr>
  </w:style>
  <w:style w:type="character" w:customStyle="1" w:styleId="FontStyle59">
    <w:name w:val="Font Style59"/>
    <w:uiPriority w:val="99"/>
    <w:rsid w:val="00FF2F42"/>
    <w:rPr>
      <w:rFonts w:ascii="Calibri" w:hAnsi="Calibri" w:cs="Calibri"/>
      <w:b/>
      <w:bCs/>
      <w:i/>
      <w:iCs/>
      <w:w w:val="50"/>
      <w:sz w:val="16"/>
      <w:szCs w:val="16"/>
    </w:rPr>
  </w:style>
  <w:style w:type="paragraph" w:styleId="aa">
    <w:name w:val="footnote text"/>
    <w:aliases w:val="Footnote Text Char1,Footnote Text Char2,Footnote Text Char11,Footnote Text Char3,Footnote Text Char4,Footnote Text Char5,Footnote Text Char6,Footnote Text Char12,Footnote Text Char21,Footnote Text Char31,Ch,Char Char Char, Ch"/>
    <w:basedOn w:val="a"/>
    <w:link w:val="Char1"/>
    <w:rsid w:val="00FF2F42"/>
    <w:rPr>
      <w:sz w:val="20"/>
      <w:szCs w:val="20"/>
    </w:rPr>
  </w:style>
  <w:style w:type="character" w:customStyle="1" w:styleId="Char1">
    <w:name w:val="Κείμενο υποσημείωσης Char"/>
    <w:aliases w:val="Footnote Text Char1 Char,Footnote Text Char2 Char,Footnote Text Char11 Char,Footnote Text Char3 Char,Footnote Text Char4 Char,Footnote Text Char5 Char,Footnote Text Char6 Char,Footnote Text Char12 Char,Footnote Text Char21 Char"/>
    <w:basedOn w:val="a0"/>
    <w:link w:val="aa"/>
    <w:rsid w:val="00FF2F42"/>
  </w:style>
  <w:style w:type="paragraph" w:customStyle="1" w:styleId="Style25">
    <w:name w:val="Style25"/>
    <w:basedOn w:val="a"/>
    <w:uiPriority w:val="99"/>
    <w:rsid w:val="00FF2F42"/>
    <w:pPr>
      <w:widowControl w:val="0"/>
      <w:autoSpaceDE w:val="0"/>
      <w:autoSpaceDN w:val="0"/>
      <w:adjustRightInd w:val="0"/>
      <w:spacing w:line="341" w:lineRule="exact"/>
      <w:jc w:val="both"/>
    </w:pPr>
  </w:style>
  <w:style w:type="paragraph" w:customStyle="1" w:styleId="Style27">
    <w:name w:val="Style27"/>
    <w:basedOn w:val="a"/>
    <w:uiPriority w:val="99"/>
    <w:rsid w:val="00FF2F42"/>
    <w:pPr>
      <w:widowControl w:val="0"/>
      <w:autoSpaceDE w:val="0"/>
      <w:autoSpaceDN w:val="0"/>
      <w:adjustRightInd w:val="0"/>
      <w:spacing w:line="269" w:lineRule="exact"/>
      <w:ind w:hanging="1190"/>
    </w:pPr>
  </w:style>
  <w:style w:type="paragraph" w:customStyle="1" w:styleId="Style32">
    <w:name w:val="Style32"/>
    <w:basedOn w:val="a"/>
    <w:uiPriority w:val="99"/>
    <w:rsid w:val="00FF2F42"/>
    <w:pPr>
      <w:widowControl w:val="0"/>
      <w:autoSpaceDE w:val="0"/>
      <w:autoSpaceDN w:val="0"/>
      <w:adjustRightInd w:val="0"/>
    </w:pPr>
  </w:style>
  <w:style w:type="paragraph" w:customStyle="1" w:styleId="Style33">
    <w:name w:val="Style33"/>
    <w:basedOn w:val="a"/>
    <w:uiPriority w:val="99"/>
    <w:rsid w:val="00FF2F42"/>
    <w:pPr>
      <w:widowControl w:val="0"/>
      <w:autoSpaceDE w:val="0"/>
      <w:autoSpaceDN w:val="0"/>
      <w:adjustRightInd w:val="0"/>
      <w:spacing w:line="250" w:lineRule="exact"/>
    </w:pPr>
  </w:style>
  <w:style w:type="character" w:customStyle="1" w:styleId="FontStyle53">
    <w:name w:val="Font Style53"/>
    <w:uiPriority w:val="99"/>
    <w:rsid w:val="00FF2F42"/>
    <w:rPr>
      <w:rFonts w:ascii="Times New Roman" w:hAnsi="Times New Roman" w:cs="Times New Roman"/>
      <w:b/>
      <w:bCs/>
      <w:sz w:val="20"/>
      <w:szCs w:val="20"/>
    </w:rPr>
  </w:style>
  <w:style w:type="character" w:customStyle="1" w:styleId="FontStyle54">
    <w:name w:val="Font Style54"/>
    <w:uiPriority w:val="99"/>
    <w:rsid w:val="00FF2F42"/>
    <w:rPr>
      <w:rFonts w:ascii="Times New Roman" w:hAnsi="Times New Roman" w:cs="Times New Roman"/>
      <w:i/>
      <w:iCs/>
      <w:sz w:val="20"/>
      <w:szCs w:val="20"/>
    </w:rPr>
  </w:style>
  <w:style w:type="character" w:customStyle="1" w:styleId="FontStyle55">
    <w:name w:val="Font Style55"/>
    <w:uiPriority w:val="99"/>
    <w:rsid w:val="00FF2F42"/>
    <w:rPr>
      <w:rFonts w:ascii="Times New Roman" w:hAnsi="Times New Roman" w:cs="Times New Roman"/>
      <w:b/>
      <w:bCs/>
      <w:smallCaps/>
      <w:sz w:val="18"/>
      <w:szCs w:val="18"/>
    </w:rPr>
  </w:style>
  <w:style w:type="character" w:customStyle="1" w:styleId="20">
    <w:name w:val="Υποσημείωση (2)_"/>
    <w:link w:val="21"/>
    <w:locked/>
    <w:rsid w:val="00FF2F42"/>
    <w:rPr>
      <w:rFonts w:ascii="Segoe UI" w:hAnsi="Segoe UI" w:cs="Segoe UI"/>
      <w:sz w:val="21"/>
      <w:szCs w:val="21"/>
      <w:shd w:val="clear" w:color="auto" w:fill="FFFFFF"/>
    </w:rPr>
  </w:style>
  <w:style w:type="paragraph" w:customStyle="1" w:styleId="21">
    <w:name w:val="Υποσημείωση (2)"/>
    <w:basedOn w:val="a"/>
    <w:link w:val="20"/>
    <w:rsid w:val="00FF2F42"/>
    <w:pPr>
      <w:shd w:val="clear" w:color="auto" w:fill="FFFFFF"/>
      <w:spacing w:line="264" w:lineRule="exact"/>
      <w:jc w:val="both"/>
    </w:pPr>
    <w:rPr>
      <w:rFonts w:ascii="Segoe UI" w:hAnsi="Segoe UI"/>
      <w:sz w:val="21"/>
      <w:szCs w:val="21"/>
      <w:lang w:val="x-none" w:eastAsia="x-none"/>
    </w:rPr>
  </w:style>
  <w:style w:type="paragraph" w:styleId="ab">
    <w:name w:val="Body Text"/>
    <w:basedOn w:val="a"/>
    <w:link w:val="Char2"/>
    <w:rsid w:val="00FF2F42"/>
    <w:pPr>
      <w:jc w:val="center"/>
    </w:pPr>
    <w:rPr>
      <w:u w:val="single"/>
      <w:lang w:val="x-none" w:eastAsia="en-US"/>
    </w:rPr>
  </w:style>
  <w:style w:type="character" w:customStyle="1" w:styleId="Char2">
    <w:name w:val="Σώμα κειμένου Char"/>
    <w:link w:val="ab"/>
    <w:rsid w:val="00FF2F42"/>
    <w:rPr>
      <w:sz w:val="24"/>
      <w:szCs w:val="24"/>
      <w:u w:val="single"/>
      <w:lang w:eastAsia="en-US"/>
    </w:rPr>
  </w:style>
  <w:style w:type="paragraph" w:styleId="22">
    <w:name w:val="Body Text 2"/>
    <w:basedOn w:val="a"/>
    <w:link w:val="2Char0"/>
    <w:rsid w:val="00FF2F42"/>
    <w:rPr>
      <w:b/>
      <w:bCs/>
      <w:u w:val="single"/>
      <w:lang w:val="x-none" w:eastAsia="en-US"/>
    </w:rPr>
  </w:style>
  <w:style w:type="character" w:customStyle="1" w:styleId="2Char0">
    <w:name w:val="Σώμα κείμενου 2 Char"/>
    <w:link w:val="22"/>
    <w:rsid w:val="00FF2F42"/>
    <w:rPr>
      <w:b/>
      <w:bCs/>
      <w:sz w:val="24"/>
      <w:szCs w:val="24"/>
      <w:u w:val="single"/>
      <w:lang w:eastAsia="en-US"/>
    </w:rPr>
  </w:style>
  <w:style w:type="paragraph" w:styleId="ac">
    <w:name w:val="Body Text Indent"/>
    <w:basedOn w:val="a"/>
    <w:link w:val="Char3"/>
    <w:rsid w:val="00FF2F42"/>
    <w:pPr>
      <w:ind w:left="720" w:hanging="360"/>
      <w:jc w:val="both"/>
    </w:pPr>
    <w:rPr>
      <w:bCs/>
      <w:iCs/>
      <w:lang w:val="x-none" w:eastAsia="en-US"/>
    </w:rPr>
  </w:style>
  <w:style w:type="character" w:customStyle="1" w:styleId="Char3">
    <w:name w:val="Σώμα κείμενου με εσοχή Char"/>
    <w:link w:val="ac"/>
    <w:rsid w:val="00FF2F42"/>
    <w:rPr>
      <w:bCs/>
      <w:iCs/>
      <w:sz w:val="24"/>
      <w:szCs w:val="24"/>
      <w:lang w:eastAsia="en-US"/>
    </w:rPr>
  </w:style>
  <w:style w:type="paragraph" w:customStyle="1" w:styleId="xl31">
    <w:name w:val="xl31"/>
    <w:basedOn w:val="a"/>
    <w:rsid w:val="00FF2F42"/>
    <w:pPr>
      <w:pBdr>
        <w:bottom w:val="double" w:sz="6" w:space="0" w:color="auto"/>
      </w:pBdr>
      <w:spacing w:before="100" w:beforeAutospacing="1" w:after="100" w:afterAutospacing="1"/>
      <w:jc w:val="right"/>
    </w:pPr>
    <w:rPr>
      <w:rFonts w:eastAsia="Arial Unicode MS"/>
    </w:rPr>
  </w:style>
  <w:style w:type="paragraph" w:styleId="ad">
    <w:name w:val="endnote text"/>
    <w:basedOn w:val="a"/>
    <w:link w:val="Char4"/>
    <w:rsid w:val="00FF2F42"/>
    <w:rPr>
      <w:sz w:val="20"/>
      <w:szCs w:val="20"/>
    </w:rPr>
  </w:style>
  <w:style w:type="character" w:customStyle="1" w:styleId="Char4">
    <w:name w:val="Κείμενο σημείωσης τέλους Char"/>
    <w:basedOn w:val="a0"/>
    <w:link w:val="ad"/>
    <w:rsid w:val="00FF2F42"/>
  </w:style>
  <w:style w:type="character" w:styleId="ae">
    <w:name w:val="endnote reference"/>
    <w:rsid w:val="00FF2F42"/>
    <w:rPr>
      <w:vertAlign w:val="superscript"/>
    </w:rPr>
  </w:style>
  <w:style w:type="paragraph" w:customStyle="1" w:styleId="Style2">
    <w:name w:val="Style2"/>
    <w:basedOn w:val="a"/>
    <w:uiPriority w:val="99"/>
    <w:rsid w:val="00FF2F42"/>
    <w:pPr>
      <w:widowControl w:val="0"/>
      <w:autoSpaceDE w:val="0"/>
      <w:autoSpaceDN w:val="0"/>
      <w:adjustRightInd w:val="0"/>
      <w:spacing w:line="406" w:lineRule="exact"/>
      <w:ind w:hanging="797"/>
      <w:jc w:val="both"/>
    </w:pPr>
  </w:style>
  <w:style w:type="paragraph" w:customStyle="1" w:styleId="Style1">
    <w:name w:val="Style1"/>
    <w:basedOn w:val="a"/>
    <w:uiPriority w:val="99"/>
    <w:rsid w:val="00FF2F42"/>
    <w:pPr>
      <w:widowControl w:val="0"/>
      <w:autoSpaceDE w:val="0"/>
      <w:autoSpaceDN w:val="0"/>
      <w:adjustRightInd w:val="0"/>
      <w:spacing w:line="401" w:lineRule="exact"/>
      <w:jc w:val="both"/>
    </w:pPr>
  </w:style>
  <w:style w:type="paragraph" w:customStyle="1" w:styleId="Style8">
    <w:name w:val="Style8"/>
    <w:basedOn w:val="a"/>
    <w:uiPriority w:val="99"/>
    <w:rsid w:val="00FF2F42"/>
    <w:pPr>
      <w:widowControl w:val="0"/>
      <w:autoSpaceDE w:val="0"/>
      <w:autoSpaceDN w:val="0"/>
      <w:adjustRightInd w:val="0"/>
      <w:jc w:val="both"/>
    </w:pPr>
  </w:style>
  <w:style w:type="paragraph" w:customStyle="1" w:styleId="Style9">
    <w:name w:val="Style9"/>
    <w:basedOn w:val="a"/>
    <w:uiPriority w:val="99"/>
    <w:rsid w:val="00FF2F42"/>
    <w:pPr>
      <w:widowControl w:val="0"/>
      <w:autoSpaceDE w:val="0"/>
      <w:autoSpaceDN w:val="0"/>
      <w:adjustRightInd w:val="0"/>
      <w:spacing w:line="285" w:lineRule="exact"/>
    </w:pPr>
  </w:style>
  <w:style w:type="paragraph" w:customStyle="1" w:styleId="Style12">
    <w:name w:val="Style12"/>
    <w:basedOn w:val="a"/>
    <w:uiPriority w:val="99"/>
    <w:rsid w:val="00FF2F42"/>
    <w:pPr>
      <w:widowControl w:val="0"/>
      <w:autoSpaceDE w:val="0"/>
      <w:autoSpaceDN w:val="0"/>
      <w:adjustRightInd w:val="0"/>
      <w:spacing w:line="283" w:lineRule="exact"/>
      <w:jc w:val="right"/>
    </w:pPr>
  </w:style>
  <w:style w:type="paragraph" w:styleId="af">
    <w:name w:val="Block Text"/>
    <w:aliases w:val="Τμήμα κείμενου"/>
    <w:basedOn w:val="a"/>
    <w:rsid w:val="00FF2F42"/>
    <w:pPr>
      <w:ind w:left="-720" w:right="-1074"/>
      <w:jc w:val="both"/>
    </w:pPr>
    <w:rPr>
      <w:lang w:eastAsia="en-US"/>
    </w:rPr>
  </w:style>
  <w:style w:type="paragraph" w:customStyle="1" w:styleId="Style11">
    <w:name w:val="Style11"/>
    <w:basedOn w:val="a"/>
    <w:uiPriority w:val="99"/>
    <w:rsid w:val="00FF2F42"/>
    <w:pPr>
      <w:widowControl w:val="0"/>
      <w:autoSpaceDE w:val="0"/>
      <w:autoSpaceDN w:val="0"/>
      <w:adjustRightInd w:val="0"/>
      <w:spacing w:line="403" w:lineRule="exact"/>
      <w:ind w:hanging="826"/>
      <w:jc w:val="both"/>
    </w:pPr>
  </w:style>
  <w:style w:type="paragraph" w:customStyle="1" w:styleId="Style20">
    <w:name w:val="Style20"/>
    <w:basedOn w:val="a"/>
    <w:uiPriority w:val="99"/>
    <w:rsid w:val="00FF2F42"/>
    <w:pPr>
      <w:widowControl w:val="0"/>
      <w:autoSpaceDE w:val="0"/>
      <w:autoSpaceDN w:val="0"/>
      <w:adjustRightInd w:val="0"/>
      <w:jc w:val="center"/>
    </w:pPr>
  </w:style>
  <w:style w:type="character" w:customStyle="1" w:styleId="FontStyle64">
    <w:name w:val="Font Style64"/>
    <w:uiPriority w:val="99"/>
    <w:rsid w:val="00FF2F42"/>
    <w:rPr>
      <w:rFonts w:ascii="Times New Roman" w:hAnsi="Times New Roman" w:cs="Times New Roman"/>
      <w:b/>
      <w:bCs/>
      <w:sz w:val="22"/>
      <w:szCs w:val="22"/>
    </w:rPr>
  </w:style>
  <w:style w:type="paragraph" w:customStyle="1" w:styleId="Style37">
    <w:name w:val="Style37"/>
    <w:basedOn w:val="a"/>
    <w:uiPriority w:val="99"/>
    <w:rsid w:val="00FF2F42"/>
    <w:pPr>
      <w:widowControl w:val="0"/>
      <w:autoSpaceDE w:val="0"/>
      <w:autoSpaceDN w:val="0"/>
      <w:adjustRightInd w:val="0"/>
      <w:spacing w:line="403" w:lineRule="exact"/>
      <w:ind w:hanging="547"/>
      <w:jc w:val="both"/>
    </w:pPr>
  </w:style>
  <w:style w:type="paragraph" w:customStyle="1" w:styleId="Style40">
    <w:name w:val="Style40"/>
    <w:basedOn w:val="a"/>
    <w:uiPriority w:val="99"/>
    <w:rsid w:val="00FF2F42"/>
    <w:pPr>
      <w:widowControl w:val="0"/>
      <w:autoSpaceDE w:val="0"/>
      <w:autoSpaceDN w:val="0"/>
      <w:adjustRightInd w:val="0"/>
    </w:pPr>
  </w:style>
  <w:style w:type="character" w:customStyle="1" w:styleId="FontStyle63">
    <w:name w:val="Font Style63"/>
    <w:uiPriority w:val="99"/>
    <w:rsid w:val="00FF2F42"/>
    <w:rPr>
      <w:rFonts w:ascii="Calibri" w:hAnsi="Calibri" w:cs="Calibri"/>
      <w:b/>
      <w:bCs/>
      <w:sz w:val="16"/>
      <w:szCs w:val="16"/>
    </w:rPr>
  </w:style>
  <w:style w:type="paragraph" w:customStyle="1" w:styleId="Style56">
    <w:name w:val="Style56"/>
    <w:basedOn w:val="a"/>
    <w:uiPriority w:val="99"/>
    <w:rsid w:val="00FF2F42"/>
    <w:pPr>
      <w:widowControl w:val="0"/>
      <w:autoSpaceDE w:val="0"/>
      <w:autoSpaceDN w:val="0"/>
      <w:adjustRightInd w:val="0"/>
      <w:spacing w:line="406" w:lineRule="exact"/>
      <w:ind w:hanging="408"/>
      <w:jc w:val="both"/>
    </w:pPr>
  </w:style>
  <w:style w:type="paragraph" w:customStyle="1" w:styleId="Style51">
    <w:name w:val="Style51"/>
    <w:basedOn w:val="a"/>
    <w:uiPriority w:val="99"/>
    <w:rsid w:val="00FF2F42"/>
    <w:pPr>
      <w:widowControl w:val="0"/>
      <w:autoSpaceDE w:val="0"/>
      <w:autoSpaceDN w:val="0"/>
      <w:adjustRightInd w:val="0"/>
    </w:pPr>
  </w:style>
  <w:style w:type="character" w:customStyle="1" w:styleId="Char">
    <w:name w:val="Κεφαλίδα Char"/>
    <w:link w:val="a5"/>
    <w:rsid w:val="00FF2F42"/>
    <w:rPr>
      <w:sz w:val="24"/>
      <w:szCs w:val="24"/>
    </w:rPr>
  </w:style>
  <w:style w:type="paragraph" w:customStyle="1" w:styleId="Style30">
    <w:name w:val="Style30"/>
    <w:basedOn w:val="a"/>
    <w:uiPriority w:val="99"/>
    <w:rsid w:val="00FF2F42"/>
    <w:pPr>
      <w:widowControl w:val="0"/>
      <w:autoSpaceDE w:val="0"/>
      <w:autoSpaceDN w:val="0"/>
      <w:adjustRightInd w:val="0"/>
      <w:spacing w:line="408" w:lineRule="exact"/>
      <w:ind w:hanging="960"/>
      <w:jc w:val="both"/>
    </w:pPr>
  </w:style>
  <w:style w:type="character" w:customStyle="1" w:styleId="Char0">
    <w:name w:val="Υποσέλιδο Char"/>
    <w:link w:val="a6"/>
    <w:uiPriority w:val="99"/>
    <w:rsid w:val="00FF2F42"/>
    <w:rPr>
      <w:sz w:val="24"/>
      <w:szCs w:val="24"/>
    </w:rPr>
  </w:style>
  <w:style w:type="paragraph" w:customStyle="1" w:styleId="Default">
    <w:name w:val="Default"/>
    <w:rsid w:val="00F2647B"/>
    <w:pPr>
      <w:autoSpaceDE w:val="0"/>
      <w:autoSpaceDN w:val="0"/>
      <w:adjustRightInd w:val="0"/>
    </w:pPr>
    <w:rPr>
      <w:rFonts w:ascii="Calibri" w:eastAsia="Calibri" w:hAnsi="Calibri" w:cs="Calibri"/>
      <w:color w:val="000000"/>
      <w:sz w:val="24"/>
      <w:szCs w:val="24"/>
      <w:lang w:eastAsia="en-US"/>
    </w:rPr>
  </w:style>
  <w:style w:type="character" w:styleId="-">
    <w:name w:val="Hyperlink"/>
    <w:uiPriority w:val="99"/>
    <w:unhideWhenUsed/>
    <w:rsid w:val="00AD4562"/>
    <w:rPr>
      <w:color w:val="0000FF"/>
      <w:u w:val="single"/>
    </w:rPr>
  </w:style>
  <w:style w:type="character" w:customStyle="1" w:styleId="2Char">
    <w:name w:val="Επικεφαλίδα 2 Char"/>
    <w:link w:val="2"/>
    <w:uiPriority w:val="9"/>
    <w:semiHidden/>
    <w:rsid w:val="00F77FA8"/>
    <w:rPr>
      <w:rFonts w:ascii="Cambria" w:eastAsia="Times New Roman" w:hAnsi="Cambria" w:cs="Times New Roman"/>
      <w:b/>
      <w:bCs/>
      <w:color w:val="4F81BD"/>
      <w:sz w:val="26"/>
      <w:szCs w:val="26"/>
    </w:rPr>
  </w:style>
  <w:style w:type="paragraph" w:styleId="23">
    <w:name w:val="toc 2"/>
    <w:basedOn w:val="a"/>
    <w:next w:val="a"/>
    <w:autoRedefine/>
    <w:rsid w:val="004A2266"/>
    <w:pPr>
      <w:ind w:left="240"/>
    </w:pPr>
  </w:style>
  <w:style w:type="paragraph" w:styleId="3">
    <w:name w:val="toc 3"/>
    <w:basedOn w:val="a"/>
    <w:next w:val="a"/>
    <w:autoRedefine/>
    <w:rsid w:val="004A2266"/>
    <w:pPr>
      <w:ind w:left="480"/>
    </w:pPr>
  </w:style>
  <w:style w:type="paragraph" w:styleId="af0">
    <w:name w:val="TOC Heading"/>
    <w:basedOn w:val="1"/>
    <w:next w:val="a"/>
    <w:uiPriority w:val="39"/>
    <w:semiHidden/>
    <w:unhideWhenUsed/>
    <w:qFormat/>
    <w:rsid w:val="004A2266"/>
    <w:pPr>
      <w:keepLines/>
      <w:spacing w:before="480" w:line="276" w:lineRule="auto"/>
      <w:jc w:val="left"/>
      <w:outlineLvl w:val="9"/>
    </w:pPr>
    <w:rPr>
      <w:rFonts w:ascii="Cambria" w:hAnsi="Cambria"/>
      <w:color w:val="365F91"/>
      <w:sz w:val="28"/>
      <w:szCs w:val="28"/>
      <w:lang w:eastAsia="el-GR"/>
    </w:rPr>
  </w:style>
  <w:style w:type="character" w:styleId="af1">
    <w:name w:val="Subtle Emphasis"/>
    <w:uiPriority w:val="19"/>
    <w:qFormat/>
    <w:rsid w:val="00523C3C"/>
    <w:rPr>
      <w:i/>
      <w:iCs/>
      <w:color w:val="808080"/>
    </w:rPr>
  </w:style>
  <w:style w:type="character" w:styleId="af2">
    <w:name w:val="Emphasis"/>
    <w:qFormat/>
    <w:rsid w:val="00B478CE"/>
    <w:rPr>
      <w:i/>
      <w:iCs/>
    </w:rPr>
  </w:style>
  <w:style w:type="paragraph" w:customStyle="1" w:styleId="BasicParagraph">
    <w:name w:val="[Basic Paragraph]"/>
    <w:basedOn w:val="a"/>
    <w:uiPriority w:val="99"/>
    <w:rsid w:val="00AA777E"/>
    <w:pPr>
      <w:widowControl w:val="0"/>
      <w:autoSpaceDE w:val="0"/>
      <w:autoSpaceDN w:val="0"/>
      <w:adjustRightInd w:val="0"/>
      <w:spacing w:after="120" w:line="288" w:lineRule="auto"/>
      <w:textAlignment w:val="center"/>
    </w:pPr>
    <w:rPr>
      <w:rFonts w:ascii="MinionPro-Regular" w:hAnsi="MinionPro-Regular" w:cs="MinionPro-Regular"/>
      <w:color w:val="000000"/>
      <w:lang w:val="en-US" w:eastAsia="en-US"/>
    </w:rPr>
  </w:style>
  <w:style w:type="paragraph" w:styleId="af3">
    <w:name w:val="List Paragraph"/>
    <w:basedOn w:val="a"/>
    <w:link w:val="Char5"/>
    <w:uiPriority w:val="34"/>
    <w:qFormat/>
    <w:rsid w:val="00AA777E"/>
    <w:pPr>
      <w:spacing w:after="200" w:line="276" w:lineRule="auto"/>
      <w:ind w:left="720"/>
      <w:contextualSpacing/>
    </w:pPr>
    <w:rPr>
      <w:rFonts w:ascii="Calibri" w:eastAsia="Calibri" w:hAnsi="Calibri"/>
      <w:sz w:val="22"/>
      <w:szCs w:val="22"/>
      <w:lang w:eastAsia="en-US"/>
    </w:rPr>
  </w:style>
  <w:style w:type="character" w:customStyle="1" w:styleId="Char5">
    <w:name w:val="Παράγραφος λίστας Char"/>
    <w:link w:val="af3"/>
    <w:uiPriority w:val="34"/>
    <w:locked/>
    <w:rsid w:val="007C7C9D"/>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19718">
      <w:bodyDiv w:val="1"/>
      <w:marLeft w:val="0"/>
      <w:marRight w:val="0"/>
      <w:marTop w:val="0"/>
      <w:marBottom w:val="0"/>
      <w:divBdr>
        <w:top w:val="none" w:sz="0" w:space="0" w:color="auto"/>
        <w:left w:val="none" w:sz="0" w:space="0" w:color="auto"/>
        <w:bottom w:val="none" w:sz="0" w:space="0" w:color="auto"/>
        <w:right w:val="none" w:sz="0" w:space="0" w:color="auto"/>
      </w:divBdr>
    </w:div>
    <w:div w:id="15235007">
      <w:bodyDiv w:val="1"/>
      <w:marLeft w:val="0"/>
      <w:marRight w:val="0"/>
      <w:marTop w:val="0"/>
      <w:marBottom w:val="0"/>
      <w:divBdr>
        <w:top w:val="none" w:sz="0" w:space="0" w:color="auto"/>
        <w:left w:val="none" w:sz="0" w:space="0" w:color="auto"/>
        <w:bottom w:val="none" w:sz="0" w:space="0" w:color="auto"/>
        <w:right w:val="none" w:sz="0" w:space="0" w:color="auto"/>
      </w:divBdr>
    </w:div>
    <w:div w:id="17394622">
      <w:bodyDiv w:val="1"/>
      <w:marLeft w:val="0"/>
      <w:marRight w:val="0"/>
      <w:marTop w:val="0"/>
      <w:marBottom w:val="0"/>
      <w:divBdr>
        <w:top w:val="none" w:sz="0" w:space="0" w:color="auto"/>
        <w:left w:val="none" w:sz="0" w:space="0" w:color="auto"/>
        <w:bottom w:val="none" w:sz="0" w:space="0" w:color="auto"/>
        <w:right w:val="none" w:sz="0" w:space="0" w:color="auto"/>
      </w:divBdr>
    </w:div>
    <w:div w:id="34937358">
      <w:bodyDiv w:val="1"/>
      <w:marLeft w:val="0"/>
      <w:marRight w:val="0"/>
      <w:marTop w:val="0"/>
      <w:marBottom w:val="0"/>
      <w:divBdr>
        <w:top w:val="none" w:sz="0" w:space="0" w:color="auto"/>
        <w:left w:val="none" w:sz="0" w:space="0" w:color="auto"/>
        <w:bottom w:val="none" w:sz="0" w:space="0" w:color="auto"/>
        <w:right w:val="none" w:sz="0" w:space="0" w:color="auto"/>
      </w:divBdr>
    </w:div>
    <w:div w:id="43533025">
      <w:bodyDiv w:val="1"/>
      <w:marLeft w:val="0"/>
      <w:marRight w:val="0"/>
      <w:marTop w:val="0"/>
      <w:marBottom w:val="0"/>
      <w:divBdr>
        <w:top w:val="none" w:sz="0" w:space="0" w:color="auto"/>
        <w:left w:val="none" w:sz="0" w:space="0" w:color="auto"/>
        <w:bottom w:val="none" w:sz="0" w:space="0" w:color="auto"/>
        <w:right w:val="none" w:sz="0" w:space="0" w:color="auto"/>
      </w:divBdr>
    </w:div>
    <w:div w:id="56169877">
      <w:bodyDiv w:val="1"/>
      <w:marLeft w:val="0"/>
      <w:marRight w:val="0"/>
      <w:marTop w:val="0"/>
      <w:marBottom w:val="0"/>
      <w:divBdr>
        <w:top w:val="none" w:sz="0" w:space="0" w:color="auto"/>
        <w:left w:val="none" w:sz="0" w:space="0" w:color="auto"/>
        <w:bottom w:val="none" w:sz="0" w:space="0" w:color="auto"/>
        <w:right w:val="none" w:sz="0" w:space="0" w:color="auto"/>
      </w:divBdr>
    </w:div>
    <w:div w:id="69347520">
      <w:bodyDiv w:val="1"/>
      <w:marLeft w:val="0"/>
      <w:marRight w:val="0"/>
      <w:marTop w:val="0"/>
      <w:marBottom w:val="0"/>
      <w:divBdr>
        <w:top w:val="none" w:sz="0" w:space="0" w:color="auto"/>
        <w:left w:val="none" w:sz="0" w:space="0" w:color="auto"/>
        <w:bottom w:val="none" w:sz="0" w:space="0" w:color="auto"/>
        <w:right w:val="none" w:sz="0" w:space="0" w:color="auto"/>
      </w:divBdr>
    </w:div>
    <w:div w:id="85882900">
      <w:bodyDiv w:val="1"/>
      <w:marLeft w:val="0"/>
      <w:marRight w:val="0"/>
      <w:marTop w:val="0"/>
      <w:marBottom w:val="0"/>
      <w:divBdr>
        <w:top w:val="none" w:sz="0" w:space="0" w:color="auto"/>
        <w:left w:val="none" w:sz="0" w:space="0" w:color="auto"/>
        <w:bottom w:val="none" w:sz="0" w:space="0" w:color="auto"/>
        <w:right w:val="none" w:sz="0" w:space="0" w:color="auto"/>
      </w:divBdr>
    </w:div>
    <w:div w:id="111824710">
      <w:bodyDiv w:val="1"/>
      <w:marLeft w:val="0"/>
      <w:marRight w:val="0"/>
      <w:marTop w:val="0"/>
      <w:marBottom w:val="0"/>
      <w:divBdr>
        <w:top w:val="none" w:sz="0" w:space="0" w:color="auto"/>
        <w:left w:val="none" w:sz="0" w:space="0" w:color="auto"/>
        <w:bottom w:val="none" w:sz="0" w:space="0" w:color="auto"/>
        <w:right w:val="none" w:sz="0" w:space="0" w:color="auto"/>
      </w:divBdr>
    </w:div>
    <w:div w:id="121004334">
      <w:bodyDiv w:val="1"/>
      <w:marLeft w:val="0"/>
      <w:marRight w:val="0"/>
      <w:marTop w:val="0"/>
      <w:marBottom w:val="0"/>
      <w:divBdr>
        <w:top w:val="none" w:sz="0" w:space="0" w:color="auto"/>
        <w:left w:val="none" w:sz="0" w:space="0" w:color="auto"/>
        <w:bottom w:val="none" w:sz="0" w:space="0" w:color="auto"/>
        <w:right w:val="none" w:sz="0" w:space="0" w:color="auto"/>
      </w:divBdr>
    </w:div>
    <w:div w:id="147288936">
      <w:bodyDiv w:val="1"/>
      <w:marLeft w:val="0"/>
      <w:marRight w:val="0"/>
      <w:marTop w:val="0"/>
      <w:marBottom w:val="0"/>
      <w:divBdr>
        <w:top w:val="none" w:sz="0" w:space="0" w:color="auto"/>
        <w:left w:val="none" w:sz="0" w:space="0" w:color="auto"/>
        <w:bottom w:val="none" w:sz="0" w:space="0" w:color="auto"/>
        <w:right w:val="none" w:sz="0" w:space="0" w:color="auto"/>
      </w:divBdr>
    </w:div>
    <w:div w:id="167258289">
      <w:bodyDiv w:val="1"/>
      <w:marLeft w:val="0"/>
      <w:marRight w:val="0"/>
      <w:marTop w:val="0"/>
      <w:marBottom w:val="0"/>
      <w:divBdr>
        <w:top w:val="none" w:sz="0" w:space="0" w:color="auto"/>
        <w:left w:val="none" w:sz="0" w:space="0" w:color="auto"/>
        <w:bottom w:val="none" w:sz="0" w:space="0" w:color="auto"/>
        <w:right w:val="none" w:sz="0" w:space="0" w:color="auto"/>
      </w:divBdr>
    </w:div>
    <w:div w:id="189684396">
      <w:bodyDiv w:val="1"/>
      <w:marLeft w:val="0"/>
      <w:marRight w:val="0"/>
      <w:marTop w:val="0"/>
      <w:marBottom w:val="0"/>
      <w:divBdr>
        <w:top w:val="none" w:sz="0" w:space="0" w:color="auto"/>
        <w:left w:val="none" w:sz="0" w:space="0" w:color="auto"/>
        <w:bottom w:val="none" w:sz="0" w:space="0" w:color="auto"/>
        <w:right w:val="none" w:sz="0" w:space="0" w:color="auto"/>
      </w:divBdr>
    </w:div>
    <w:div w:id="200824918">
      <w:bodyDiv w:val="1"/>
      <w:marLeft w:val="0"/>
      <w:marRight w:val="0"/>
      <w:marTop w:val="0"/>
      <w:marBottom w:val="0"/>
      <w:divBdr>
        <w:top w:val="none" w:sz="0" w:space="0" w:color="auto"/>
        <w:left w:val="none" w:sz="0" w:space="0" w:color="auto"/>
        <w:bottom w:val="none" w:sz="0" w:space="0" w:color="auto"/>
        <w:right w:val="none" w:sz="0" w:space="0" w:color="auto"/>
      </w:divBdr>
    </w:div>
    <w:div w:id="253322533">
      <w:bodyDiv w:val="1"/>
      <w:marLeft w:val="0"/>
      <w:marRight w:val="0"/>
      <w:marTop w:val="0"/>
      <w:marBottom w:val="0"/>
      <w:divBdr>
        <w:top w:val="none" w:sz="0" w:space="0" w:color="auto"/>
        <w:left w:val="none" w:sz="0" w:space="0" w:color="auto"/>
        <w:bottom w:val="none" w:sz="0" w:space="0" w:color="auto"/>
        <w:right w:val="none" w:sz="0" w:space="0" w:color="auto"/>
      </w:divBdr>
    </w:div>
    <w:div w:id="260727451">
      <w:bodyDiv w:val="1"/>
      <w:marLeft w:val="0"/>
      <w:marRight w:val="0"/>
      <w:marTop w:val="0"/>
      <w:marBottom w:val="0"/>
      <w:divBdr>
        <w:top w:val="none" w:sz="0" w:space="0" w:color="auto"/>
        <w:left w:val="none" w:sz="0" w:space="0" w:color="auto"/>
        <w:bottom w:val="none" w:sz="0" w:space="0" w:color="auto"/>
        <w:right w:val="none" w:sz="0" w:space="0" w:color="auto"/>
      </w:divBdr>
    </w:div>
    <w:div w:id="272713274">
      <w:bodyDiv w:val="1"/>
      <w:marLeft w:val="0"/>
      <w:marRight w:val="0"/>
      <w:marTop w:val="0"/>
      <w:marBottom w:val="0"/>
      <w:divBdr>
        <w:top w:val="none" w:sz="0" w:space="0" w:color="auto"/>
        <w:left w:val="none" w:sz="0" w:space="0" w:color="auto"/>
        <w:bottom w:val="none" w:sz="0" w:space="0" w:color="auto"/>
        <w:right w:val="none" w:sz="0" w:space="0" w:color="auto"/>
      </w:divBdr>
    </w:div>
    <w:div w:id="278724886">
      <w:bodyDiv w:val="1"/>
      <w:marLeft w:val="0"/>
      <w:marRight w:val="0"/>
      <w:marTop w:val="0"/>
      <w:marBottom w:val="0"/>
      <w:divBdr>
        <w:top w:val="none" w:sz="0" w:space="0" w:color="auto"/>
        <w:left w:val="none" w:sz="0" w:space="0" w:color="auto"/>
        <w:bottom w:val="none" w:sz="0" w:space="0" w:color="auto"/>
        <w:right w:val="none" w:sz="0" w:space="0" w:color="auto"/>
      </w:divBdr>
    </w:div>
    <w:div w:id="346058188">
      <w:bodyDiv w:val="1"/>
      <w:marLeft w:val="0"/>
      <w:marRight w:val="0"/>
      <w:marTop w:val="0"/>
      <w:marBottom w:val="0"/>
      <w:divBdr>
        <w:top w:val="none" w:sz="0" w:space="0" w:color="auto"/>
        <w:left w:val="none" w:sz="0" w:space="0" w:color="auto"/>
        <w:bottom w:val="none" w:sz="0" w:space="0" w:color="auto"/>
        <w:right w:val="none" w:sz="0" w:space="0" w:color="auto"/>
      </w:divBdr>
    </w:div>
    <w:div w:id="350452315">
      <w:bodyDiv w:val="1"/>
      <w:marLeft w:val="0"/>
      <w:marRight w:val="0"/>
      <w:marTop w:val="0"/>
      <w:marBottom w:val="0"/>
      <w:divBdr>
        <w:top w:val="none" w:sz="0" w:space="0" w:color="auto"/>
        <w:left w:val="none" w:sz="0" w:space="0" w:color="auto"/>
        <w:bottom w:val="none" w:sz="0" w:space="0" w:color="auto"/>
        <w:right w:val="none" w:sz="0" w:space="0" w:color="auto"/>
      </w:divBdr>
    </w:div>
    <w:div w:id="370689228">
      <w:bodyDiv w:val="1"/>
      <w:marLeft w:val="0"/>
      <w:marRight w:val="0"/>
      <w:marTop w:val="0"/>
      <w:marBottom w:val="0"/>
      <w:divBdr>
        <w:top w:val="none" w:sz="0" w:space="0" w:color="auto"/>
        <w:left w:val="none" w:sz="0" w:space="0" w:color="auto"/>
        <w:bottom w:val="none" w:sz="0" w:space="0" w:color="auto"/>
        <w:right w:val="none" w:sz="0" w:space="0" w:color="auto"/>
      </w:divBdr>
    </w:div>
    <w:div w:id="371541868">
      <w:bodyDiv w:val="1"/>
      <w:marLeft w:val="0"/>
      <w:marRight w:val="0"/>
      <w:marTop w:val="0"/>
      <w:marBottom w:val="0"/>
      <w:divBdr>
        <w:top w:val="none" w:sz="0" w:space="0" w:color="auto"/>
        <w:left w:val="none" w:sz="0" w:space="0" w:color="auto"/>
        <w:bottom w:val="none" w:sz="0" w:space="0" w:color="auto"/>
        <w:right w:val="none" w:sz="0" w:space="0" w:color="auto"/>
      </w:divBdr>
    </w:div>
    <w:div w:id="386221312">
      <w:bodyDiv w:val="1"/>
      <w:marLeft w:val="0"/>
      <w:marRight w:val="0"/>
      <w:marTop w:val="0"/>
      <w:marBottom w:val="0"/>
      <w:divBdr>
        <w:top w:val="none" w:sz="0" w:space="0" w:color="auto"/>
        <w:left w:val="none" w:sz="0" w:space="0" w:color="auto"/>
        <w:bottom w:val="none" w:sz="0" w:space="0" w:color="auto"/>
        <w:right w:val="none" w:sz="0" w:space="0" w:color="auto"/>
      </w:divBdr>
    </w:div>
    <w:div w:id="452332444">
      <w:bodyDiv w:val="1"/>
      <w:marLeft w:val="0"/>
      <w:marRight w:val="0"/>
      <w:marTop w:val="0"/>
      <w:marBottom w:val="0"/>
      <w:divBdr>
        <w:top w:val="none" w:sz="0" w:space="0" w:color="auto"/>
        <w:left w:val="none" w:sz="0" w:space="0" w:color="auto"/>
        <w:bottom w:val="none" w:sz="0" w:space="0" w:color="auto"/>
        <w:right w:val="none" w:sz="0" w:space="0" w:color="auto"/>
      </w:divBdr>
    </w:div>
    <w:div w:id="460004792">
      <w:bodyDiv w:val="1"/>
      <w:marLeft w:val="0"/>
      <w:marRight w:val="0"/>
      <w:marTop w:val="0"/>
      <w:marBottom w:val="0"/>
      <w:divBdr>
        <w:top w:val="none" w:sz="0" w:space="0" w:color="auto"/>
        <w:left w:val="none" w:sz="0" w:space="0" w:color="auto"/>
        <w:bottom w:val="none" w:sz="0" w:space="0" w:color="auto"/>
        <w:right w:val="none" w:sz="0" w:space="0" w:color="auto"/>
      </w:divBdr>
    </w:div>
    <w:div w:id="496503845">
      <w:bodyDiv w:val="1"/>
      <w:marLeft w:val="0"/>
      <w:marRight w:val="0"/>
      <w:marTop w:val="0"/>
      <w:marBottom w:val="0"/>
      <w:divBdr>
        <w:top w:val="none" w:sz="0" w:space="0" w:color="auto"/>
        <w:left w:val="none" w:sz="0" w:space="0" w:color="auto"/>
        <w:bottom w:val="none" w:sz="0" w:space="0" w:color="auto"/>
        <w:right w:val="none" w:sz="0" w:space="0" w:color="auto"/>
      </w:divBdr>
    </w:div>
    <w:div w:id="525018930">
      <w:bodyDiv w:val="1"/>
      <w:marLeft w:val="0"/>
      <w:marRight w:val="0"/>
      <w:marTop w:val="0"/>
      <w:marBottom w:val="0"/>
      <w:divBdr>
        <w:top w:val="none" w:sz="0" w:space="0" w:color="auto"/>
        <w:left w:val="none" w:sz="0" w:space="0" w:color="auto"/>
        <w:bottom w:val="none" w:sz="0" w:space="0" w:color="auto"/>
        <w:right w:val="none" w:sz="0" w:space="0" w:color="auto"/>
      </w:divBdr>
    </w:div>
    <w:div w:id="541212227">
      <w:bodyDiv w:val="1"/>
      <w:marLeft w:val="0"/>
      <w:marRight w:val="0"/>
      <w:marTop w:val="0"/>
      <w:marBottom w:val="0"/>
      <w:divBdr>
        <w:top w:val="none" w:sz="0" w:space="0" w:color="auto"/>
        <w:left w:val="none" w:sz="0" w:space="0" w:color="auto"/>
        <w:bottom w:val="none" w:sz="0" w:space="0" w:color="auto"/>
        <w:right w:val="none" w:sz="0" w:space="0" w:color="auto"/>
      </w:divBdr>
    </w:div>
    <w:div w:id="560142833">
      <w:bodyDiv w:val="1"/>
      <w:marLeft w:val="0"/>
      <w:marRight w:val="0"/>
      <w:marTop w:val="0"/>
      <w:marBottom w:val="0"/>
      <w:divBdr>
        <w:top w:val="none" w:sz="0" w:space="0" w:color="auto"/>
        <w:left w:val="none" w:sz="0" w:space="0" w:color="auto"/>
        <w:bottom w:val="none" w:sz="0" w:space="0" w:color="auto"/>
        <w:right w:val="none" w:sz="0" w:space="0" w:color="auto"/>
      </w:divBdr>
    </w:div>
    <w:div w:id="562371592">
      <w:bodyDiv w:val="1"/>
      <w:marLeft w:val="0"/>
      <w:marRight w:val="0"/>
      <w:marTop w:val="0"/>
      <w:marBottom w:val="0"/>
      <w:divBdr>
        <w:top w:val="none" w:sz="0" w:space="0" w:color="auto"/>
        <w:left w:val="none" w:sz="0" w:space="0" w:color="auto"/>
        <w:bottom w:val="none" w:sz="0" w:space="0" w:color="auto"/>
        <w:right w:val="none" w:sz="0" w:space="0" w:color="auto"/>
      </w:divBdr>
    </w:div>
    <w:div w:id="579170314">
      <w:bodyDiv w:val="1"/>
      <w:marLeft w:val="0"/>
      <w:marRight w:val="0"/>
      <w:marTop w:val="0"/>
      <w:marBottom w:val="0"/>
      <w:divBdr>
        <w:top w:val="none" w:sz="0" w:space="0" w:color="auto"/>
        <w:left w:val="none" w:sz="0" w:space="0" w:color="auto"/>
        <w:bottom w:val="none" w:sz="0" w:space="0" w:color="auto"/>
        <w:right w:val="none" w:sz="0" w:space="0" w:color="auto"/>
      </w:divBdr>
    </w:div>
    <w:div w:id="588735415">
      <w:bodyDiv w:val="1"/>
      <w:marLeft w:val="0"/>
      <w:marRight w:val="0"/>
      <w:marTop w:val="0"/>
      <w:marBottom w:val="0"/>
      <w:divBdr>
        <w:top w:val="none" w:sz="0" w:space="0" w:color="auto"/>
        <w:left w:val="none" w:sz="0" w:space="0" w:color="auto"/>
        <w:bottom w:val="none" w:sz="0" w:space="0" w:color="auto"/>
        <w:right w:val="none" w:sz="0" w:space="0" w:color="auto"/>
      </w:divBdr>
    </w:div>
    <w:div w:id="592131163">
      <w:bodyDiv w:val="1"/>
      <w:marLeft w:val="0"/>
      <w:marRight w:val="0"/>
      <w:marTop w:val="0"/>
      <w:marBottom w:val="0"/>
      <w:divBdr>
        <w:top w:val="none" w:sz="0" w:space="0" w:color="auto"/>
        <w:left w:val="none" w:sz="0" w:space="0" w:color="auto"/>
        <w:bottom w:val="none" w:sz="0" w:space="0" w:color="auto"/>
        <w:right w:val="none" w:sz="0" w:space="0" w:color="auto"/>
      </w:divBdr>
    </w:div>
    <w:div w:id="619725587">
      <w:bodyDiv w:val="1"/>
      <w:marLeft w:val="0"/>
      <w:marRight w:val="0"/>
      <w:marTop w:val="0"/>
      <w:marBottom w:val="0"/>
      <w:divBdr>
        <w:top w:val="none" w:sz="0" w:space="0" w:color="auto"/>
        <w:left w:val="none" w:sz="0" w:space="0" w:color="auto"/>
        <w:bottom w:val="none" w:sz="0" w:space="0" w:color="auto"/>
        <w:right w:val="none" w:sz="0" w:space="0" w:color="auto"/>
      </w:divBdr>
    </w:div>
    <w:div w:id="657078949">
      <w:bodyDiv w:val="1"/>
      <w:marLeft w:val="0"/>
      <w:marRight w:val="0"/>
      <w:marTop w:val="0"/>
      <w:marBottom w:val="0"/>
      <w:divBdr>
        <w:top w:val="none" w:sz="0" w:space="0" w:color="auto"/>
        <w:left w:val="none" w:sz="0" w:space="0" w:color="auto"/>
        <w:bottom w:val="none" w:sz="0" w:space="0" w:color="auto"/>
        <w:right w:val="none" w:sz="0" w:space="0" w:color="auto"/>
      </w:divBdr>
    </w:div>
    <w:div w:id="679822137">
      <w:bodyDiv w:val="1"/>
      <w:marLeft w:val="0"/>
      <w:marRight w:val="0"/>
      <w:marTop w:val="0"/>
      <w:marBottom w:val="0"/>
      <w:divBdr>
        <w:top w:val="none" w:sz="0" w:space="0" w:color="auto"/>
        <w:left w:val="none" w:sz="0" w:space="0" w:color="auto"/>
        <w:bottom w:val="none" w:sz="0" w:space="0" w:color="auto"/>
        <w:right w:val="none" w:sz="0" w:space="0" w:color="auto"/>
      </w:divBdr>
    </w:div>
    <w:div w:id="692658367">
      <w:bodyDiv w:val="1"/>
      <w:marLeft w:val="0"/>
      <w:marRight w:val="0"/>
      <w:marTop w:val="0"/>
      <w:marBottom w:val="0"/>
      <w:divBdr>
        <w:top w:val="none" w:sz="0" w:space="0" w:color="auto"/>
        <w:left w:val="none" w:sz="0" w:space="0" w:color="auto"/>
        <w:bottom w:val="none" w:sz="0" w:space="0" w:color="auto"/>
        <w:right w:val="none" w:sz="0" w:space="0" w:color="auto"/>
      </w:divBdr>
    </w:div>
    <w:div w:id="702635451">
      <w:bodyDiv w:val="1"/>
      <w:marLeft w:val="0"/>
      <w:marRight w:val="0"/>
      <w:marTop w:val="0"/>
      <w:marBottom w:val="0"/>
      <w:divBdr>
        <w:top w:val="none" w:sz="0" w:space="0" w:color="auto"/>
        <w:left w:val="none" w:sz="0" w:space="0" w:color="auto"/>
        <w:bottom w:val="none" w:sz="0" w:space="0" w:color="auto"/>
        <w:right w:val="none" w:sz="0" w:space="0" w:color="auto"/>
      </w:divBdr>
    </w:div>
    <w:div w:id="710570246">
      <w:bodyDiv w:val="1"/>
      <w:marLeft w:val="0"/>
      <w:marRight w:val="0"/>
      <w:marTop w:val="0"/>
      <w:marBottom w:val="0"/>
      <w:divBdr>
        <w:top w:val="none" w:sz="0" w:space="0" w:color="auto"/>
        <w:left w:val="none" w:sz="0" w:space="0" w:color="auto"/>
        <w:bottom w:val="none" w:sz="0" w:space="0" w:color="auto"/>
        <w:right w:val="none" w:sz="0" w:space="0" w:color="auto"/>
      </w:divBdr>
    </w:div>
    <w:div w:id="726613787">
      <w:bodyDiv w:val="1"/>
      <w:marLeft w:val="0"/>
      <w:marRight w:val="0"/>
      <w:marTop w:val="0"/>
      <w:marBottom w:val="0"/>
      <w:divBdr>
        <w:top w:val="none" w:sz="0" w:space="0" w:color="auto"/>
        <w:left w:val="none" w:sz="0" w:space="0" w:color="auto"/>
        <w:bottom w:val="none" w:sz="0" w:space="0" w:color="auto"/>
        <w:right w:val="none" w:sz="0" w:space="0" w:color="auto"/>
      </w:divBdr>
    </w:div>
    <w:div w:id="727150980">
      <w:bodyDiv w:val="1"/>
      <w:marLeft w:val="0"/>
      <w:marRight w:val="0"/>
      <w:marTop w:val="0"/>
      <w:marBottom w:val="0"/>
      <w:divBdr>
        <w:top w:val="none" w:sz="0" w:space="0" w:color="auto"/>
        <w:left w:val="none" w:sz="0" w:space="0" w:color="auto"/>
        <w:bottom w:val="none" w:sz="0" w:space="0" w:color="auto"/>
        <w:right w:val="none" w:sz="0" w:space="0" w:color="auto"/>
      </w:divBdr>
    </w:div>
    <w:div w:id="770929040">
      <w:bodyDiv w:val="1"/>
      <w:marLeft w:val="0"/>
      <w:marRight w:val="0"/>
      <w:marTop w:val="0"/>
      <w:marBottom w:val="0"/>
      <w:divBdr>
        <w:top w:val="none" w:sz="0" w:space="0" w:color="auto"/>
        <w:left w:val="none" w:sz="0" w:space="0" w:color="auto"/>
        <w:bottom w:val="none" w:sz="0" w:space="0" w:color="auto"/>
        <w:right w:val="none" w:sz="0" w:space="0" w:color="auto"/>
      </w:divBdr>
    </w:div>
    <w:div w:id="808788385">
      <w:bodyDiv w:val="1"/>
      <w:marLeft w:val="0"/>
      <w:marRight w:val="0"/>
      <w:marTop w:val="0"/>
      <w:marBottom w:val="0"/>
      <w:divBdr>
        <w:top w:val="none" w:sz="0" w:space="0" w:color="auto"/>
        <w:left w:val="none" w:sz="0" w:space="0" w:color="auto"/>
        <w:bottom w:val="none" w:sz="0" w:space="0" w:color="auto"/>
        <w:right w:val="none" w:sz="0" w:space="0" w:color="auto"/>
      </w:divBdr>
    </w:div>
    <w:div w:id="900674831">
      <w:bodyDiv w:val="1"/>
      <w:marLeft w:val="0"/>
      <w:marRight w:val="0"/>
      <w:marTop w:val="0"/>
      <w:marBottom w:val="0"/>
      <w:divBdr>
        <w:top w:val="none" w:sz="0" w:space="0" w:color="auto"/>
        <w:left w:val="none" w:sz="0" w:space="0" w:color="auto"/>
        <w:bottom w:val="none" w:sz="0" w:space="0" w:color="auto"/>
        <w:right w:val="none" w:sz="0" w:space="0" w:color="auto"/>
      </w:divBdr>
    </w:div>
    <w:div w:id="914364471">
      <w:bodyDiv w:val="1"/>
      <w:marLeft w:val="0"/>
      <w:marRight w:val="0"/>
      <w:marTop w:val="0"/>
      <w:marBottom w:val="0"/>
      <w:divBdr>
        <w:top w:val="none" w:sz="0" w:space="0" w:color="auto"/>
        <w:left w:val="none" w:sz="0" w:space="0" w:color="auto"/>
        <w:bottom w:val="none" w:sz="0" w:space="0" w:color="auto"/>
        <w:right w:val="none" w:sz="0" w:space="0" w:color="auto"/>
      </w:divBdr>
    </w:div>
    <w:div w:id="921523876">
      <w:bodyDiv w:val="1"/>
      <w:marLeft w:val="0"/>
      <w:marRight w:val="0"/>
      <w:marTop w:val="0"/>
      <w:marBottom w:val="0"/>
      <w:divBdr>
        <w:top w:val="none" w:sz="0" w:space="0" w:color="auto"/>
        <w:left w:val="none" w:sz="0" w:space="0" w:color="auto"/>
        <w:bottom w:val="none" w:sz="0" w:space="0" w:color="auto"/>
        <w:right w:val="none" w:sz="0" w:space="0" w:color="auto"/>
      </w:divBdr>
    </w:div>
    <w:div w:id="926303846">
      <w:bodyDiv w:val="1"/>
      <w:marLeft w:val="0"/>
      <w:marRight w:val="0"/>
      <w:marTop w:val="0"/>
      <w:marBottom w:val="0"/>
      <w:divBdr>
        <w:top w:val="none" w:sz="0" w:space="0" w:color="auto"/>
        <w:left w:val="none" w:sz="0" w:space="0" w:color="auto"/>
        <w:bottom w:val="none" w:sz="0" w:space="0" w:color="auto"/>
        <w:right w:val="none" w:sz="0" w:space="0" w:color="auto"/>
      </w:divBdr>
    </w:div>
    <w:div w:id="930704317">
      <w:bodyDiv w:val="1"/>
      <w:marLeft w:val="0"/>
      <w:marRight w:val="0"/>
      <w:marTop w:val="0"/>
      <w:marBottom w:val="0"/>
      <w:divBdr>
        <w:top w:val="none" w:sz="0" w:space="0" w:color="auto"/>
        <w:left w:val="none" w:sz="0" w:space="0" w:color="auto"/>
        <w:bottom w:val="none" w:sz="0" w:space="0" w:color="auto"/>
        <w:right w:val="none" w:sz="0" w:space="0" w:color="auto"/>
      </w:divBdr>
    </w:div>
    <w:div w:id="949823131">
      <w:bodyDiv w:val="1"/>
      <w:marLeft w:val="0"/>
      <w:marRight w:val="0"/>
      <w:marTop w:val="0"/>
      <w:marBottom w:val="0"/>
      <w:divBdr>
        <w:top w:val="none" w:sz="0" w:space="0" w:color="auto"/>
        <w:left w:val="none" w:sz="0" w:space="0" w:color="auto"/>
        <w:bottom w:val="none" w:sz="0" w:space="0" w:color="auto"/>
        <w:right w:val="none" w:sz="0" w:space="0" w:color="auto"/>
      </w:divBdr>
    </w:div>
    <w:div w:id="956983792">
      <w:bodyDiv w:val="1"/>
      <w:marLeft w:val="0"/>
      <w:marRight w:val="0"/>
      <w:marTop w:val="0"/>
      <w:marBottom w:val="0"/>
      <w:divBdr>
        <w:top w:val="none" w:sz="0" w:space="0" w:color="auto"/>
        <w:left w:val="none" w:sz="0" w:space="0" w:color="auto"/>
        <w:bottom w:val="none" w:sz="0" w:space="0" w:color="auto"/>
        <w:right w:val="none" w:sz="0" w:space="0" w:color="auto"/>
      </w:divBdr>
    </w:div>
    <w:div w:id="976183624">
      <w:bodyDiv w:val="1"/>
      <w:marLeft w:val="0"/>
      <w:marRight w:val="0"/>
      <w:marTop w:val="0"/>
      <w:marBottom w:val="0"/>
      <w:divBdr>
        <w:top w:val="none" w:sz="0" w:space="0" w:color="auto"/>
        <w:left w:val="none" w:sz="0" w:space="0" w:color="auto"/>
        <w:bottom w:val="none" w:sz="0" w:space="0" w:color="auto"/>
        <w:right w:val="none" w:sz="0" w:space="0" w:color="auto"/>
      </w:divBdr>
    </w:div>
    <w:div w:id="986666468">
      <w:bodyDiv w:val="1"/>
      <w:marLeft w:val="0"/>
      <w:marRight w:val="0"/>
      <w:marTop w:val="0"/>
      <w:marBottom w:val="0"/>
      <w:divBdr>
        <w:top w:val="none" w:sz="0" w:space="0" w:color="auto"/>
        <w:left w:val="none" w:sz="0" w:space="0" w:color="auto"/>
        <w:bottom w:val="none" w:sz="0" w:space="0" w:color="auto"/>
        <w:right w:val="none" w:sz="0" w:space="0" w:color="auto"/>
      </w:divBdr>
    </w:div>
    <w:div w:id="994333802">
      <w:bodyDiv w:val="1"/>
      <w:marLeft w:val="0"/>
      <w:marRight w:val="0"/>
      <w:marTop w:val="0"/>
      <w:marBottom w:val="0"/>
      <w:divBdr>
        <w:top w:val="none" w:sz="0" w:space="0" w:color="auto"/>
        <w:left w:val="none" w:sz="0" w:space="0" w:color="auto"/>
        <w:bottom w:val="none" w:sz="0" w:space="0" w:color="auto"/>
        <w:right w:val="none" w:sz="0" w:space="0" w:color="auto"/>
      </w:divBdr>
    </w:div>
    <w:div w:id="997883782">
      <w:bodyDiv w:val="1"/>
      <w:marLeft w:val="0"/>
      <w:marRight w:val="0"/>
      <w:marTop w:val="0"/>
      <w:marBottom w:val="0"/>
      <w:divBdr>
        <w:top w:val="none" w:sz="0" w:space="0" w:color="auto"/>
        <w:left w:val="none" w:sz="0" w:space="0" w:color="auto"/>
        <w:bottom w:val="none" w:sz="0" w:space="0" w:color="auto"/>
        <w:right w:val="none" w:sz="0" w:space="0" w:color="auto"/>
      </w:divBdr>
    </w:div>
    <w:div w:id="1019745691">
      <w:bodyDiv w:val="1"/>
      <w:marLeft w:val="0"/>
      <w:marRight w:val="0"/>
      <w:marTop w:val="0"/>
      <w:marBottom w:val="0"/>
      <w:divBdr>
        <w:top w:val="none" w:sz="0" w:space="0" w:color="auto"/>
        <w:left w:val="none" w:sz="0" w:space="0" w:color="auto"/>
        <w:bottom w:val="none" w:sz="0" w:space="0" w:color="auto"/>
        <w:right w:val="none" w:sz="0" w:space="0" w:color="auto"/>
      </w:divBdr>
    </w:div>
    <w:div w:id="1022586733">
      <w:bodyDiv w:val="1"/>
      <w:marLeft w:val="0"/>
      <w:marRight w:val="0"/>
      <w:marTop w:val="0"/>
      <w:marBottom w:val="0"/>
      <w:divBdr>
        <w:top w:val="none" w:sz="0" w:space="0" w:color="auto"/>
        <w:left w:val="none" w:sz="0" w:space="0" w:color="auto"/>
        <w:bottom w:val="none" w:sz="0" w:space="0" w:color="auto"/>
        <w:right w:val="none" w:sz="0" w:space="0" w:color="auto"/>
      </w:divBdr>
    </w:div>
    <w:div w:id="1024554824">
      <w:bodyDiv w:val="1"/>
      <w:marLeft w:val="0"/>
      <w:marRight w:val="0"/>
      <w:marTop w:val="0"/>
      <w:marBottom w:val="0"/>
      <w:divBdr>
        <w:top w:val="none" w:sz="0" w:space="0" w:color="auto"/>
        <w:left w:val="none" w:sz="0" w:space="0" w:color="auto"/>
        <w:bottom w:val="none" w:sz="0" w:space="0" w:color="auto"/>
        <w:right w:val="none" w:sz="0" w:space="0" w:color="auto"/>
      </w:divBdr>
    </w:div>
    <w:div w:id="1046948063">
      <w:bodyDiv w:val="1"/>
      <w:marLeft w:val="0"/>
      <w:marRight w:val="0"/>
      <w:marTop w:val="0"/>
      <w:marBottom w:val="0"/>
      <w:divBdr>
        <w:top w:val="none" w:sz="0" w:space="0" w:color="auto"/>
        <w:left w:val="none" w:sz="0" w:space="0" w:color="auto"/>
        <w:bottom w:val="none" w:sz="0" w:space="0" w:color="auto"/>
        <w:right w:val="none" w:sz="0" w:space="0" w:color="auto"/>
      </w:divBdr>
    </w:div>
    <w:div w:id="1062480045">
      <w:bodyDiv w:val="1"/>
      <w:marLeft w:val="0"/>
      <w:marRight w:val="0"/>
      <w:marTop w:val="0"/>
      <w:marBottom w:val="0"/>
      <w:divBdr>
        <w:top w:val="none" w:sz="0" w:space="0" w:color="auto"/>
        <w:left w:val="none" w:sz="0" w:space="0" w:color="auto"/>
        <w:bottom w:val="none" w:sz="0" w:space="0" w:color="auto"/>
        <w:right w:val="none" w:sz="0" w:space="0" w:color="auto"/>
      </w:divBdr>
    </w:div>
    <w:div w:id="1064717536">
      <w:bodyDiv w:val="1"/>
      <w:marLeft w:val="0"/>
      <w:marRight w:val="0"/>
      <w:marTop w:val="0"/>
      <w:marBottom w:val="0"/>
      <w:divBdr>
        <w:top w:val="none" w:sz="0" w:space="0" w:color="auto"/>
        <w:left w:val="none" w:sz="0" w:space="0" w:color="auto"/>
        <w:bottom w:val="none" w:sz="0" w:space="0" w:color="auto"/>
        <w:right w:val="none" w:sz="0" w:space="0" w:color="auto"/>
      </w:divBdr>
    </w:div>
    <w:div w:id="1124034485">
      <w:bodyDiv w:val="1"/>
      <w:marLeft w:val="0"/>
      <w:marRight w:val="0"/>
      <w:marTop w:val="0"/>
      <w:marBottom w:val="0"/>
      <w:divBdr>
        <w:top w:val="none" w:sz="0" w:space="0" w:color="auto"/>
        <w:left w:val="none" w:sz="0" w:space="0" w:color="auto"/>
        <w:bottom w:val="none" w:sz="0" w:space="0" w:color="auto"/>
        <w:right w:val="none" w:sz="0" w:space="0" w:color="auto"/>
      </w:divBdr>
    </w:div>
    <w:div w:id="1142039001">
      <w:bodyDiv w:val="1"/>
      <w:marLeft w:val="0"/>
      <w:marRight w:val="0"/>
      <w:marTop w:val="0"/>
      <w:marBottom w:val="0"/>
      <w:divBdr>
        <w:top w:val="none" w:sz="0" w:space="0" w:color="auto"/>
        <w:left w:val="none" w:sz="0" w:space="0" w:color="auto"/>
        <w:bottom w:val="none" w:sz="0" w:space="0" w:color="auto"/>
        <w:right w:val="none" w:sz="0" w:space="0" w:color="auto"/>
      </w:divBdr>
    </w:div>
    <w:div w:id="1148014648">
      <w:bodyDiv w:val="1"/>
      <w:marLeft w:val="0"/>
      <w:marRight w:val="0"/>
      <w:marTop w:val="0"/>
      <w:marBottom w:val="0"/>
      <w:divBdr>
        <w:top w:val="none" w:sz="0" w:space="0" w:color="auto"/>
        <w:left w:val="none" w:sz="0" w:space="0" w:color="auto"/>
        <w:bottom w:val="none" w:sz="0" w:space="0" w:color="auto"/>
        <w:right w:val="none" w:sz="0" w:space="0" w:color="auto"/>
      </w:divBdr>
    </w:div>
    <w:div w:id="1162699284">
      <w:bodyDiv w:val="1"/>
      <w:marLeft w:val="0"/>
      <w:marRight w:val="0"/>
      <w:marTop w:val="0"/>
      <w:marBottom w:val="0"/>
      <w:divBdr>
        <w:top w:val="none" w:sz="0" w:space="0" w:color="auto"/>
        <w:left w:val="none" w:sz="0" w:space="0" w:color="auto"/>
        <w:bottom w:val="none" w:sz="0" w:space="0" w:color="auto"/>
        <w:right w:val="none" w:sz="0" w:space="0" w:color="auto"/>
      </w:divBdr>
    </w:div>
    <w:div w:id="1244531963">
      <w:bodyDiv w:val="1"/>
      <w:marLeft w:val="0"/>
      <w:marRight w:val="0"/>
      <w:marTop w:val="0"/>
      <w:marBottom w:val="0"/>
      <w:divBdr>
        <w:top w:val="none" w:sz="0" w:space="0" w:color="auto"/>
        <w:left w:val="none" w:sz="0" w:space="0" w:color="auto"/>
        <w:bottom w:val="none" w:sz="0" w:space="0" w:color="auto"/>
        <w:right w:val="none" w:sz="0" w:space="0" w:color="auto"/>
      </w:divBdr>
    </w:div>
    <w:div w:id="1244997177">
      <w:bodyDiv w:val="1"/>
      <w:marLeft w:val="0"/>
      <w:marRight w:val="0"/>
      <w:marTop w:val="0"/>
      <w:marBottom w:val="0"/>
      <w:divBdr>
        <w:top w:val="none" w:sz="0" w:space="0" w:color="auto"/>
        <w:left w:val="none" w:sz="0" w:space="0" w:color="auto"/>
        <w:bottom w:val="none" w:sz="0" w:space="0" w:color="auto"/>
        <w:right w:val="none" w:sz="0" w:space="0" w:color="auto"/>
      </w:divBdr>
    </w:div>
    <w:div w:id="1272860168">
      <w:bodyDiv w:val="1"/>
      <w:marLeft w:val="0"/>
      <w:marRight w:val="0"/>
      <w:marTop w:val="0"/>
      <w:marBottom w:val="0"/>
      <w:divBdr>
        <w:top w:val="none" w:sz="0" w:space="0" w:color="auto"/>
        <w:left w:val="none" w:sz="0" w:space="0" w:color="auto"/>
        <w:bottom w:val="none" w:sz="0" w:space="0" w:color="auto"/>
        <w:right w:val="none" w:sz="0" w:space="0" w:color="auto"/>
      </w:divBdr>
    </w:div>
    <w:div w:id="1275213742">
      <w:bodyDiv w:val="1"/>
      <w:marLeft w:val="0"/>
      <w:marRight w:val="0"/>
      <w:marTop w:val="0"/>
      <w:marBottom w:val="0"/>
      <w:divBdr>
        <w:top w:val="none" w:sz="0" w:space="0" w:color="auto"/>
        <w:left w:val="none" w:sz="0" w:space="0" w:color="auto"/>
        <w:bottom w:val="none" w:sz="0" w:space="0" w:color="auto"/>
        <w:right w:val="none" w:sz="0" w:space="0" w:color="auto"/>
      </w:divBdr>
    </w:div>
    <w:div w:id="1322541617">
      <w:bodyDiv w:val="1"/>
      <w:marLeft w:val="0"/>
      <w:marRight w:val="0"/>
      <w:marTop w:val="0"/>
      <w:marBottom w:val="0"/>
      <w:divBdr>
        <w:top w:val="none" w:sz="0" w:space="0" w:color="auto"/>
        <w:left w:val="none" w:sz="0" w:space="0" w:color="auto"/>
        <w:bottom w:val="none" w:sz="0" w:space="0" w:color="auto"/>
        <w:right w:val="none" w:sz="0" w:space="0" w:color="auto"/>
      </w:divBdr>
    </w:div>
    <w:div w:id="1325624529">
      <w:bodyDiv w:val="1"/>
      <w:marLeft w:val="0"/>
      <w:marRight w:val="0"/>
      <w:marTop w:val="0"/>
      <w:marBottom w:val="0"/>
      <w:divBdr>
        <w:top w:val="none" w:sz="0" w:space="0" w:color="auto"/>
        <w:left w:val="none" w:sz="0" w:space="0" w:color="auto"/>
        <w:bottom w:val="none" w:sz="0" w:space="0" w:color="auto"/>
        <w:right w:val="none" w:sz="0" w:space="0" w:color="auto"/>
      </w:divBdr>
    </w:div>
    <w:div w:id="1346516997">
      <w:bodyDiv w:val="1"/>
      <w:marLeft w:val="0"/>
      <w:marRight w:val="0"/>
      <w:marTop w:val="0"/>
      <w:marBottom w:val="0"/>
      <w:divBdr>
        <w:top w:val="none" w:sz="0" w:space="0" w:color="auto"/>
        <w:left w:val="none" w:sz="0" w:space="0" w:color="auto"/>
        <w:bottom w:val="none" w:sz="0" w:space="0" w:color="auto"/>
        <w:right w:val="none" w:sz="0" w:space="0" w:color="auto"/>
      </w:divBdr>
    </w:div>
    <w:div w:id="1363676628">
      <w:bodyDiv w:val="1"/>
      <w:marLeft w:val="0"/>
      <w:marRight w:val="0"/>
      <w:marTop w:val="0"/>
      <w:marBottom w:val="0"/>
      <w:divBdr>
        <w:top w:val="none" w:sz="0" w:space="0" w:color="auto"/>
        <w:left w:val="none" w:sz="0" w:space="0" w:color="auto"/>
        <w:bottom w:val="none" w:sz="0" w:space="0" w:color="auto"/>
        <w:right w:val="none" w:sz="0" w:space="0" w:color="auto"/>
      </w:divBdr>
    </w:div>
    <w:div w:id="1385180921">
      <w:bodyDiv w:val="1"/>
      <w:marLeft w:val="0"/>
      <w:marRight w:val="0"/>
      <w:marTop w:val="0"/>
      <w:marBottom w:val="0"/>
      <w:divBdr>
        <w:top w:val="none" w:sz="0" w:space="0" w:color="auto"/>
        <w:left w:val="none" w:sz="0" w:space="0" w:color="auto"/>
        <w:bottom w:val="none" w:sz="0" w:space="0" w:color="auto"/>
        <w:right w:val="none" w:sz="0" w:space="0" w:color="auto"/>
      </w:divBdr>
    </w:div>
    <w:div w:id="1400707218">
      <w:bodyDiv w:val="1"/>
      <w:marLeft w:val="0"/>
      <w:marRight w:val="0"/>
      <w:marTop w:val="0"/>
      <w:marBottom w:val="0"/>
      <w:divBdr>
        <w:top w:val="none" w:sz="0" w:space="0" w:color="auto"/>
        <w:left w:val="none" w:sz="0" w:space="0" w:color="auto"/>
        <w:bottom w:val="none" w:sz="0" w:space="0" w:color="auto"/>
        <w:right w:val="none" w:sz="0" w:space="0" w:color="auto"/>
      </w:divBdr>
    </w:div>
    <w:div w:id="1435856515">
      <w:bodyDiv w:val="1"/>
      <w:marLeft w:val="0"/>
      <w:marRight w:val="0"/>
      <w:marTop w:val="0"/>
      <w:marBottom w:val="0"/>
      <w:divBdr>
        <w:top w:val="none" w:sz="0" w:space="0" w:color="auto"/>
        <w:left w:val="none" w:sz="0" w:space="0" w:color="auto"/>
        <w:bottom w:val="none" w:sz="0" w:space="0" w:color="auto"/>
        <w:right w:val="none" w:sz="0" w:space="0" w:color="auto"/>
      </w:divBdr>
    </w:div>
    <w:div w:id="1449470340">
      <w:bodyDiv w:val="1"/>
      <w:marLeft w:val="0"/>
      <w:marRight w:val="0"/>
      <w:marTop w:val="0"/>
      <w:marBottom w:val="0"/>
      <w:divBdr>
        <w:top w:val="none" w:sz="0" w:space="0" w:color="auto"/>
        <w:left w:val="none" w:sz="0" w:space="0" w:color="auto"/>
        <w:bottom w:val="none" w:sz="0" w:space="0" w:color="auto"/>
        <w:right w:val="none" w:sz="0" w:space="0" w:color="auto"/>
      </w:divBdr>
    </w:div>
    <w:div w:id="1467964070">
      <w:bodyDiv w:val="1"/>
      <w:marLeft w:val="0"/>
      <w:marRight w:val="0"/>
      <w:marTop w:val="0"/>
      <w:marBottom w:val="0"/>
      <w:divBdr>
        <w:top w:val="none" w:sz="0" w:space="0" w:color="auto"/>
        <w:left w:val="none" w:sz="0" w:space="0" w:color="auto"/>
        <w:bottom w:val="none" w:sz="0" w:space="0" w:color="auto"/>
        <w:right w:val="none" w:sz="0" w:space="0" w:color="auto"/>
      </w:divBdr>
    </w:div>
    <w:div w:id="1494754376">
      <w:bodyDiv w:val="1"/>
      <w:marLeft w:val="0"/>
      <w:marRight w:val="0"/>
      <w:marTop w:val="0"/>
      <w:marBottom w:val="0"/>
      <w:divBdr>
        <w:top w:val="none" w:sz="0" w:space="0" w:color="auto"/>
        <w:left w:val="none" w:sz="0" w:space="0" w:color="auto"/>
        <w:bottom w:val="none" w:sz="0" w:space="0" w:color="auto"/>
        <w:right w:val="none" w:sz="0" w:space="0" w:color="auto"/>
      </w:divBdr>
    </w:div>
    <w:div w:id="1506092248">
      <w:bodyDiv w:val="1"/>
      <w:marLeft w:val="0"/>
      <w:marRight w:val="0"/>
      <w:marTop w:val="0"/>
      <w:marBottom w:val="0"/>
      <w:divBdr>
        <w:top w:val="none" w:sz="0" w:space="0" w:color="auto"/>
        <w:left w:val="none" w:sz="0" w:space="0" w:color="auto"/>
        <w:bottom w:val="none" w:sz="0" w:space="0" w:color="auto"/>
        <w:right w:val="none" w:sz="0" w:space="0" w:color="auto"/>
      </w:divBdr>
    </w:div>
    <w:div w:id="1534263656">
      <w:bodyDiv w:val="1"/>
      <w:marLeft w:val="0"/>
      <w:marRight w:val="0"/>
      <w:marTop w:val="0"/>
      <w:marBottom w:val="0"/>
      <w:divBdr>
        <w:top w:val="none" w:sz="0" w:space="0" w:color="auto"/>
        <w:left w:val="none" w:sz="0" w:space="0" w:color="auto"/>
        <w:bottom w:val="none" w:sz="0" w:space="0" w:color="auto"/>
        <w:right w:val="none" w:sz="0" w:space="0" w:color="auto"/>
      </w:divBdr>
    </w:div>
    <w:div w:id="1538199017">
      <w:bodyDiv w:val="1"/>
      <w:marLeft w:val="0"/>
      <w:marRight w:val="0"/>
      <w:marTop w:val="0"/>
      <w:marBottom w:val="0"/>
      <w:divBdr>
        <w:top w:val="none" w:sz="0" w:space="0" w:color="auto"/>
        <w:left w:val="none" w:sz="0" w:space="0" w:color="auto"/>
        <w:bottom w:val="none" w:sz="0" w:space="0" w:color="auto"/>
        <w:right w:val="none" w:sz="0" w:space="0" w:color="auto"/>
      </w:divBdr>
    </w:div>
    <w:div w:id="1562475200">
      <w:bodyDiv w:val="1"/>
      <w:marLeft w:val="0"/>
      <w:marRight w:val="0"/>
      <w:marTop w:val="0"/>
      <w:marBottom w:val="0"/>
      <w:divBdr>
        <w:top w:val="none" w:sz="0" w:space="0" w:color="auto"/>
        <w:left w:val="none" w:sz="0" w:space="0" w:color="auto"/>
        <w:bottom w:val="none" w:sz="0" w:space="0" w:color="auto"/>
        <w:right w:val="none" w:sz="0" w:space="0" w:color="auto"/>
      </w:divBdr>
    </w:div>
    <w:div w:id="1564366822">
      <w:bodyDiv w:val="1"/>
      <w:marLeft w:val="0"/>
      <w:marRight w:val="0"/>
      <w:marTop w:val="0"/>
      <w:marBottom w:val="0"/>
      <w:divBdr>
        <w:top w:val="none" w:sz="0" w:space="0" w:color="auto"/>
        <w:left w:val="none" w:sz="0" w:space="0" w:color="auto"/>
        <w:bottom w:val="none" w:sz="0" w:space="0" w:color="auto"/>
        <w:right w:val="none" w:sz="0" w:space="0" w:color="auto"/>
      </w:divBdr>
    </w:div>
    <w:div w:id="1571161462">
      <w:bodyDiv w:val="1"/>
      <w:marLeft w:val="0"/>
      <w:marRight w:val="0"/>
      <w:marTop w:val="0"/>
      <w:marBottom w:val="0"/>
      <w:divBdr>
        <w:top w:val="none" w:sz="0" w:space="0" w:color="auto"/>
        <w:left w:val="none" w:sz="0" w:space="0" w:color="auto"/>
        <w:bottom w:val="none" w:sz="0" w:space="0" w:color="auto"/>
        <w:right w:val="none" w:sz="0" w:space="0" w:color="auto"/>
      </w:divBdr>
    </w:div>
    <w:div w:id="1647852712">
      <w:bodyDiv w:val="1"/>
      <w:marLeft w:val="0"/>
      <w:marRight w:val="0"/>
      <w:marTop w:val="0"/>
      <w:marBottom w:val="0"/>
      <w:divBdr>
        <w:top w:val="none" w:sz="0" w:space="0" w:color="auto"/>
        <w:left w:val="none" w:sz="0" w:space="0" w:color="auto"/>
        <w:bottom w:val="none" w:sz="0" w:space="0" w:color="auto"/>
        <w:right w:val="none" w:sz="0" w:space="0" w:color="auto"/>
      </w:divBdr>
    </w:div>
    <w:div w:id="1652979617">
      <w:bodyDiv w:val="1"/>
      <w:marLeft w:val="0"/>
      <w:marRight w:val="0"/>
      <w:marTop w:val="0"/>
      <w:marBottom w:val="0"/>
      <w:divBdr>
        <w:top w:val="none" w:sz="0" w:space="0" w:color="auto"/>
        <w:left w:val="none" w:sz="0" w:space="0" w:color="auto"/>
        <w:bottom w:val="none" w:sz="0" w:space="0" w:color="auto"/>
        <w:right w:val="none" w:sz="0" w:space="0" w:color="auto"/>
      </w:divBdr>
    </w:div>
    <w:div w:id="1657487821">
      <w:bodyDiv w:val="1"/>
      <w:marLeft w:val="0"/>
      <w:marRight w:val="0"/>
      <w:marTop w:val="0"/>
      <w:marBottom w:val="0"/>
      <w:divBdr>
        <w:top w:val="none" w:sz="0" w:space="0" w:color="auto"/>
        <w:left w:val="none" w:sz="0" w:space="0" w:color="auto"/>
        <w:bottom w:val="none" w:sz="0" w:space="0" w:color="auto"/>
        <w:right w:val="none" w:sz="0" w:space="0" w:color="auto"/>
      </w:divBdr>
    </w:div>
    <w:div w:id="1682661192">
      <w:bodyDiv w:val="1"/>
      <w:marLeft w:val="0"/>
      <w:marRight w:val="0"/>
      <w:marTop w:val="0"/>
      <w:marBottom w:val="0"/>
      <w:divBdr>
        <w:top w:val="none" w:sz="0" w:space="0" w:color="auto"/>
        <w:left w:val="none" w:sz="0" w:space="0" w:color="auto"/>
        <w:bottom w:val="none" w:sz="0" w:space="0" w:color="auto"/>
        <w:right w:val="none" w:sz="0" w:space="0" w:color="auto"/>
      </w:divBdr>
    </w:div>
    <w:div w:id="1710177577">
      <w:bodyDiv w:val="1"/>
      <w:marLeft w:val="0"/>
      <w:marRight w:val="0"/>
      <w:marTop w:val="0"/>
      <w:marBottom w:val="0"/>
      <w:divBdr>
        <w:top w:val="none" w:sz="0" w:space="0" w:color="auto"/>
        <w:left w:val="none" w:sz="0" w:space="0" w:color="auto"/>
        <w:bottom w:val="none" w:sz="0" w:space="0" w:color="auto"/>
        <w:right w:val="none" w:sz="0" w:space="0" w:color="auto"/>
      </w:divBdr>
    </w:div>
    <w:div w:id="1724018440">
      <w:bodyDiv w:val="1"/>
      <w:marLeft w:val="0"/>
      <w:marRight w:val="0"/>
      <w:marTop w:val="0"/>
      <w:marBottom w:val="0"/>
      <w:divBdr>
        <w:top w:val="none" w:sz="0" w:space="0" w:color="auto"/>
        <w:left w:val="none" w:sz="0" w:space="0" w:color="auto"/>
        <w:bottom w:val="none" w:sz="0" w:space="0" w:color="auto"/>
        <w:right w:val="none" w:sz="0" w:space="0" w:color="auto"/>
      </w:divBdr>
    </w:div>
    <w:div w:id="1724715559">
      <w:bodyDiv w:val="1"/>
      <w:marLeft w:val="0"/>
      <w:marRight w:val="0"/>
      <w:marTop w:val="0"/>
      <w:marBottom w:val="0"/>
      <w:divBdr>
        <w:top w:val="none" w:sz="0" w:space="0" w:color="auto"/>
        <w:left w:val="none" w:sz="0" w:space="0" w:color="auto"/>
        <w:bottom w:val="none" w:sz="0" w:space="0" w:color="auto"/>
        <w:right w:val="none" w:sz="0" w:space="0" w:color="auto"/>
      </w:divBdr>
    </w:div>
    <w:div w:id="1746415474">
      <w:bodyDiv w:val="1"/>
      <w:marLeft w:val="0"/>
      <w:marRight w:val="0"/>
      <w:marTop w:val="0"/>
      <w:marBottom w:val="0"/>
      <w:divBdr>
        <w:top w:val="none" w:sz="0" w:space="0" w:color="auto"/>
        <w:left w:val="none" w:sz="0" w:space="0" w:color="auto"/>
        <w:bottom w:val="none" w:sz="0" w:space="0" w:color="auto"/>
        <w:right w:val="none" w:sz="0" w:space="0" w:color="auto"/>
      </w:divBdr>
    </w:div>
    <w:div w:id="1763836524">
      <w:bodyDiv w:val="1"/>
      <w:marLeft w:val="0"/>
      <w:marRight w:val="0"/>
      <w:marTop w:val="0"/>
      <w:marBottom w:val="0"/>
      <w:divBdr>
        <w:top w:val="none" w:sz="0" w:space="0" w:color="auto"/>
        <w:left w:val="none" w:sz="0" w:space="0" w:color="auto"/>
        <w:bottom w:val="none" w:sz="0" w:space="0" w:color="auto"/>
        <w:right w:val="none" w:sz="0" w:space="0" w:color="auto"/>
      </w:divBdr>
    </w:div>
    <w:div w:id="1764300834">
      <w:bodyDiv w:val="1"/>
      <w:marLeft w:val="0"/>
      <w:marRight w:val="0"/>
      <w:marTop w:val="0"/>
      <w:marBottom w:val="0"/>
      <w:divBdr>
        <w:top w:val="none" w:sz="0" w:space="0" w:color="auto"/>
        <w:left w:val="none" w:sz="0" w:space="0" w:color="auto"/>
        <w:bottom w:val="none" w:sz="0" w:space="0" w:color="auto"/>
        <w:right w:val="none" w:sz="0" w:space="0" w:color="auto"/>
      </w:divBdr>
    </w:div>
    <w:div w:id="1796292840">
      <w:bodyDiv w:val="1"/>
      <w:marLeft w:val="0"/>
      <w:marRight w:val="0"/>
      <w:marTop w:val="0"/>
      <w:marBottom w:val="0"/>
      <w:divBdr>
        <w:top w:val="none" w:sz="0" w:space="0" w:color="auto"/>
        <w:left w:val="none" w:sz="0" w:space="0" w:color="auto"/>
        <w:bottom w:val="none" w:sz="0" w:space="0" w:color="auto"/>
        <w:right w:val="none" w:sz="0" w:space="0" w:color="auto"/>
      </w:divBdr>
    </w:div>
    <w:div w:id="1803616747">
      <w:bodyDiv w:val="1"/>
      <w:marLeft w:val="0"/>
      <w:marRight w:val="0"/>
      <w:marTop w:val="0"/>
      <w:marBottom w:val="0"/>
      <w:divBdr>
        <w:top w:val="none" w:sz="0" w:space="0" w:color="auto"/>
        <w:left w:val="none" w:sz="0" w:space="0" w:color="auto"/>
        <w:bottom w:val="none" w:sz="0" w:space="0" w:color="auto"/>
        <w:right w:val="none" w:sz="0" w:space="0" w:color="auto"/>
      </w:divBdr>
    </w:div>
    <w:div w:id="1805610915">
      <w:bodyDiv w:val="1"/>
      <w:marLeft w:val="0"/>
      <w:marRight w:val="0"/>
      <w:marTop w:val="0"/>
      <w:marBottom w:val="0"/>
      <w:divBdr>
        <w:top w:val="none" w:sz="0" w:space="0" w:color="auto"/>
        <w:left w:val="none" w:sz="0" w:space="0" w:color="auto"/>
        <w:bottom w:val="none" w:sz="0" w:space="0" w:color="auto"/>
        <w:right w:val="none" w:sz="0" w:space="0" w:color="auto"/>
      </w:divBdr>
    </w:div>
    <w:div w:id="1848981853">
      <w:bodyDiv w:val="1"/>
      <w:marLeft w:val="0"/>
      <w:marRight w:val="0"/>
      <w:marTop w:val="0"/>
      <w:marBottom w:val="0"/>
      <w:divBdr>
        <w:top w:val="none" w:sz="0" w:space="0" w:color="auto"/>
        <w:left w:val="none" w:sz="0" w:space="0" w:color="auto"/>
        <w:bottom w:val="none" w:sz="0" w:space="0" w:color="auto"/>
        <w:right w:val="none" w:sz="0" w:space="0" w:color="auto"/>
      </w:divBdr>
    </w:div>
    <w:div w:id="1850900106">
      <w:bodyDiv w:val="1"/>
      <w:marLeft w:val="0"/>
      <w:marRight w:val="0"/>
      <w:marTop w:val="0"/>
      <w:marBottom w:val="0"/>
      <w:divBdr>
        <w:top w:val="none" w:sz="0" w:space="0" w:color="auto"/>
        <w:left w:val="none" w:sz="0" w:space="0" w:color="auto"/>
        <w:bottom w:val="none" w:sz="0" w:space="0" w:color="auto"/>
        <w:right w:val="none" w:sz="0" w:space="0" w:color="auto"/>
      </w:divBdr>
    </w:div>
    <w:div w:id="1851673519">
      <w:bodyDiv w:val="1"/>
      <w:marLeft w:val="0"/>
      <w:marRight w:val="0"/>
      <w:marTop w:val="0"/>
      <w:marBottom w:val="0"/>
      <w:divBdr>
        <w:top w:val="none" w:sz="0" w:space="0" w:color="auto"/>
        <w:left w:val="none" w:sz="0" w:space="0" w:color="auto"/>
        <w:bottom w:val="none" w:sz="0" w:space="0" w:color="auto"/>
        <w:right w:val="none" w:sz="0" w:space="0" w:color="auto"/>
      </w:divBdr>
    </w:div>
    <w:div w:id="1861040475">
      <w:bodyDiv w:val="1"/>
      <w:marLeft w:val="0"/>
      <w:marRight w:val="0"/>
      <w:marTop w:val="0"/>
      <w:marBottom w:val="0"/>
      <w:divBdr>
        <w:top w:val="none" w:sz="0" w:space="0" w:color="auto"/>
        <w:left w:val="none" w:sz="0" w:space="0" w:color="auto"/>
        <w:bottom w:val="none" w:sz="0" w:space="0" w:color="auto"/>
        <w:right w:val="none" w:sz="0" w:space="0" w:color="auto"/>
      </w:divBdr>
    </w:div>
    <w:div w:id="1879126724">
      <w:bodyDiv w:val="1"/>
      <w:marLeft w:val="0"/>
      <w:marRight w:val="0"/>
      <w:marTop w:val="0"/>
      <w:marBottom w:val="0"/>
      <w:divBdr>
        <w:top w:val="none" w:sz="0" w:space="0" w:color="auto"/>
        <w:left w:val="none" w:sz="0" w:space="0" w:color="auto"/>
        <w:bottom w:val="none" w:sz="0" w:space="0" w:color="auto"/>
        <w:right w:val="none" w:sz="0" w:space="0" w:color="auto"/>
      </w:divBdr>
    </w:div>
    <w:div w:id="1881824114">
      <w:bodyDiv w:val="1"/>
      <w:marLeft w:val="0"/>
      <w:marRight w:val="0"/>
      <w:marTop w:val="0"/>
      <w:marBottom w:val="0"/>
      <w:divBdr>
        <w:top w:val="none" w:sz="0" w:space="0" w:color="auto"/>
        <w:left w:val="none" w:sz="0" w:space="0" w:color="auto"/>
        <w:bottom w:val="none" w:sz="0" w:space="0" w:color="auto"/>
        <w:right w:val="none" w:sz="0" w:space="0" w:color="auto"/>
      </w:divBdr>
    </w:div>
    <w:div w:id="1893879565">
      <w:bodyDiv w:val="1"/>
      <w:marLeft w:val="0"/>
      <w:marRight w:val="0"/>
      <w:marTop w:val="0"/>
      <w:marBottom w:val="0"/>
      <w:divBdr>
        <w:top w:val="none" w:sz="0" w:space="0" w:color="auto"/>
        <w:left w:val="none" w:sz="0" w:space="0" w:color="auto"/>
        <w:bottom w:val="none" w:sz="0" w:space="0" w:color="auto"/>
        <w:right w:val="none" w:sz="0" w:space="0" w:color="auto"/>
      </w:divBdr>
    </w:div>
    <w:div w:id="1919366296">
      <w:bodyDiv w:val="1"/>
      <w:marLeft w:val="0"/>
      <w:marRight w:val="0"/>
      <w:marTop w:val="0"/>
      <w:marBottom w:val="0"/>
      <w:divBdr>
        <w:top w:val="none" w:sz="0" w:space="0" w:color="auto"/>
        <w:left w:val="none" w:sz="0" w:space="0" w:color="auto"/>
        <w:bottom w:val="none" w:sz="0" w:space="0" w:color="auto"/>
        <w:right w:val="none" w:sz="0" w:space="0" w:color="auto"/>
      </w:divBdr>
    </w:div>
    <w:div w:id="1923564402">
      <w:bodyDiv w:val="1"/>
      <w:marLeft w:val="0"/>
      <w:marRight w:val="0"/>
      <w:marTop w:val="0"/>
      <w:marBottom w:val="0"/>
      <w:divBdr>
        <w:top w:val="none" w:sz="0" w:space="0" w:color="auto"/>
        <w:left w:val="none" w:sz="0" w:space="0" w:color="auto"/>
        <w:bottom w:val="none" w:sz="0" w:space="0" w:color="auto"/>
        <w:right w:val="none" w:sz="0" w:space="0" w:color="auto"/>
      </w:divBdr>
    </w:div>
    <w:div w:id="1924408666">
      <w:bodyDiv w:val="1"/>
      <w:marLeft w:val="0"/>
      <w:marRight w:val="0"/>
      <w:marTop w:val="0"/>
      <w:marBottom w:val="0"/>
      <w:divBdr>
        <w:top w:val="none" w:sz="0" w:space="0" w:color="auto"/>
        <w:left w:val="none" w:sz="0" w:space="0" w:color="auto"/>
        <w:bottom w:val="none" w:sz="0" w:space="0" w:color="auto"/>
        <w:right w:val="none" w:sz="0" w:space="0" w:color="auto"/>
      </w:divBdr>
    </w:div>
    <w:div w:id="1926379063">
      <w:bodyDiv w:val="1"/>
      <w:marLeft w:val="0"/>
      <w:marRight w:val="0"/>
      <w:marTop w:val="0"/>
      <w:marBottom w:val="0"/>
      <w:divBdr>
        <w:top w:val="none" w:sz="0" w:space="0" w:color="auto"/>
        <w:left w:val="none" w:sz="0" w:space="0" w:color="auto"/>
        <w:bottom w:val="none" w:sz="0" w:space="0" w:color="auto"/>
        <w:right w:val="none" w:sz="0" w:space="0" w:color="auto"/>
      </w:divBdr>
    </w:div>
    <w:div w:id="1940790565">
      <w:bodyDiv w:val="1"/>
      <w:marLeft w:val="0"/>
      <w:marRight w:val="0"/>
      <w:marTop w:val="0"/>
      <w:marBottom w:val="0"/>
      <w:divBdr>
        <w:top w:val="none" w:sz="0" w:space="0" w:color="auto"/>
        <w:left w:val="none" w:sz="0" w:space="0" w:color="auto"/>
        <w:bottom w:val="none" w:sz="0" w:space="0" w:color="auto"/>
        <w:right w:val="none" w:sz="0" w:space="0" w:color="auto"/>
      </w:divBdr>
    </w:div>
    <w:div w:id="1943144902">
      <w:bodyDiv w:val="1"/>
      <w:marLeft w:val="0"/>
      <w:marRight w:val="0"/>
      <w:marTop w:val="0"/>
      <w:marBottom w:val="0"/>
      <w:divBdr>
        <w:top w:val="none" w:sz="0" w:space="0" w:color="auto"/>
        <w:left w:val="none" w:sz="0" w:space="0" w:color="auto"/>
        <w:bottom w:val="none" w:sz="0" w:space="0" w:color="auto"/>
        <w:right w:val="none" w:sz="0" w:space="0" w:color="auto"/>
      </w:divBdr>
    </w:div>
    <w:div w:id="1962497464">
      <w:bodyDiv w:val="1"/>
      <w:marLeft w:val="0"/>
      <w:marRight w:val="0"/>
      <w:marTop w:val="0"/>
      <w:marBottom w:val="0"/>
      <w:divBdr>
        <w:top w:val="none" w:sz="0" w:space="0" w:color="auto"/>
        <w:left w:val="none" w:sz="0" w:space="0" w:color="auto"/>
        <w:bottom w:val="none" w:sz="0" w:space="0" w:color="auto"/>
        <w:right w:val="none" w:sz="0" w:space="0" w:color="auto"/>
      </w:divBdr>
    </w:div>
    <w:div w:id="1985625302">
      <w:bodyDiv w:val="1"/>
      <w:marLeft w:val="0"/>
      <w:marRight w:val="0"/>
      <w:marTop w:val="0"/>
      <w:marBottom w:val="0"/>
      <w:divBdr>
        <w:top w:val="none" w:sz="0" w:space="0" w:color="auto"/>
        <w:left w:val="none" w:sz="0" w:space="0" w:color="auto"/>
        <w:bottom w:val="none" w:sz="0" w:space="0" w:color="auto"/>
        <w:right w:val="none" w:sz="0" w:space="0" w:color="auto"/>
      </w:divBdr>
    </w:div>
    <w:div w:id="2005476973">
      <w:bodyDiv w:val="1"/>
      <w:marLeft w:val="0"/>
      <w:marRight w:val="0"/>
      <w:marTop w:val="0"/>
      <w:marBottom w:val="0"/>
      <w:divBdr>
        <w:top w:val="none" w:sz="0" w:space="0" w:color="auto"/>
        <w:left w:val="none" w:sz="0" w:space="0" w:color="auto"/>
        <w:bottom w:val="none" w:sz="0" w:space="0" w:color="auto"/>
        <w:right w:val="none" w:sz="0" w:space="0" w:color="auto"/>
      </w:divBdr>
    </w:div>
    <w:div w:id="2029210620">
      <w:bodyDiv w:val="1"/>
      <w:marLeft w:val="0"/>
      <w:marRight w:val="0"/>
      <w:marTop w:val="0"/>
      <w:marBottom w:val="0"/>
      <w:divBdr>
        <w:top w:val="none" w:sz="0" w:space="0" w:color="auto"/>
        <w:left w:val="none" w:sz="0" w:space="0" w:color="auto"/>
        <w:bottom w:val="none" w:sz="0" w:space="0" w:color="auto"/>
        <w:right w:val="none" w:sz="0" w:space="0" w:color="auto"/>
      </w:divBdr>
    </w:div>
    <w:div w:id="2041660287">
      <w:bodyDiv w:val="1"/>
      <w:marLeft w:val="0"/>
      <w:marRight w:val="0"/>
      <w:marTop w:val="0"/>
      <w:marBottom w:val="0"/>
      <w:divBdr>
        <w:top w:val="none" w:sz="0" w:space="0" w:color="auto"/>
        <w:left w:val="none" w:sz="0" w:space="0" w:color="auto"/>
        <w:bottom w:val="none" w:sz="0" w:space="0" w:color="auto"/>
        <w:right w:val="none" w:sz="0" w:space="0" w:color="auto"/>
      </w:divBdr>
    </w:div>
    <w:div w:id="2109041320">
      <w:bodyDiv w:val="1"/>
      <w:marLeft w:val="0"/>
      <w:marRight w:val="0"/>
      <w:marTop w:val="0"/>
      <w:marBottom w:val="0"/>
      <w:divBdr>
        <w:top w:val="none" w:sz="0" w:space="0" w:color="auto"/>
        <w:left w:val="none" w:sz="0" w:space="0" w:color="auto"/>
        <w:bottom w:val="none" w:sz="0" w:space="0" w:color="auto"/>
        <w:right w:val="none" w:sz="0" w:space="0" w:color="auto"/>
      </w:divBdr>
    </w:div>
    <w:div w:id="2121756069">
      <w:bodyDiv w:val="1"/>
      <w:marLeft w:val="0"/>
      <w:marRight w:val="0"/>
      <w:marTop w:val="0"/>
      <w:marBottom w:val="0"/>
      <w:divBdr>
        <w:top w:val="none" w:sz="0" w:space="0" w:color="auto"/>
        <w:left w:val="none" w:sz="0" w:space="0" w:color="auto"/>
        <w:bottom w:val="none" w:sz="0" w:space="0" w:color="auto"/>
        <w:right w:val="none" w:sz="0" w:space="0" w:color="auto"/>
      </w:divBdr>
    </w:div>
    <w:div w:id="2137289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oter" Target="footer9.xml"/><Relationship Id="rId10" Type="http://schemas.openxmlformats.org/officeDocument/2006/relationships/footer" Target="footer2.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8.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DC0D1C-D4F4-4EFB-9B63-C0E284567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24</Pages>
  <Words>5348</Words>
  <Characters>35193</Characters>
  <Application>Microsoft Office Word</Application>
  <DocSecurity>0</DocSecurity>
  <Lines>293</Lines>
  <Paragraphs>80</Paragraphs>
  <ScaleCrop>false</ScaleCrop>
  <HeadingPairs>
    <vt:vector size="2" baseType="variant">
      <vt:variant>
        <vt:lpstr>Τίτλος</vt:lpstr>
      </vt:variant>
      <vt:variant>
        <vt:i4>1</vt:i4>
      </vt:variant>
    </vt:vector>
  </HeadingPairs>
  <TitlesOfParts>
    <vt:vector size="1" baseType="lpstr">
      <vt:lpstr>ISRS 4400</vt:lpstr>
    </vt:vector>
  </TitlesOfParts>
  <Company/>
  <LinksUpToDate>false</LinksUpToDate>
  <CharactersWithSpaces>40461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ISRS 4400</dc:title>
  <dc:subject/>
  <dc:creator>Your User Name</dc:creator>
  <cp:keywords/>
  <cp:lastModifiedBy>Syneconomy User</cp:lastModifiedBy>
  <cp:revision>23</cp:revision>
  <cp:lastPrinted>2019-08-29T08:17:00Z</cp:lastPrinted>
  <dcterms:created xsi:type="dcterms:W3CDTF">2019-08-28T15:38:00Z</dcterms:created>
  <dcterms:modified xsi:type="dcterms:W3CDTF">2021-07-29T10:52:00Z</dcterms:modified>
</cp:coreProperties>
</file>