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87" w:rsidRPr="00950F12" w:rsidRDefault="00004C87" w:rsidP="00B82D0D">
      <w:pPr>
        <w:spacing w:after="200" w:line="276" w:lineRule="auto"/>
        <w:jc w:val="center"/>
        <w:rPr>
          <w:b/>
          <w:sz w:val="32"/>
          <w:szCs w:val="32"/>
        </w:rPr>
      </w:pPr>
      <w:bookmarkStart w:id="0" w:name="_Toc404864544"/>
    </w:p>
    <w:p w:rsidR="00A56D2D" w:rsidRPr="00A131AE" w:rsidRDefault="00902A0B" w:rsidP="00B82D0D">
      <w:pPr>
        <w:spacing w:after="200" w:line="276" w:lineRule="auto"/>
        <w:jc w:val="center"/>
        <w:rPr>
          <w:b/>
          <w:sz w:val="32"/>
          <w:szCs w:val="32"/>
          <w:lang w:val="en-US"/>
        </w:rPr>
      </w:pPr>
      <w:r w:rsidRPr="00A131AE">
        <w:rPr>
          <w:noProof/>
        </w:rPr>
        <w:drawing>
          <wp:inline distT="0" distB="0" distL="0" distR="0">
            <wp:extent cx="5105400" cy="1181100"/>
            <wp:effectExtent l="0" t="0" r="0" b="0"/>
            <wp:docPr id="2" name="Εικόνα 3" descr="http://www.eldrug.gr/templates/theme213/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www.eldrug.gr/templates/theme213/imag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181100"/>
                    </a:xfrm>
                    <a:prstGeom prst="rect">
                      <a:avLst/>
                    </a:prstGeom>
                    <a:noFill/>
                    <a:ln>
                      <a:noFill/>
                    </a:ln>
                  </pic:spPr>
                </pic:pic>
              </a:graphicData>
            </a:graphic>
          </wp:inline>
        </w:drawing>
      </w:r>
    </w:p>
    <w:p w:rsidR="00A56D2D" w:rsidRPr="00A131AE" w:rsidRDefault="00A56D2D" w:rsidP="00B82D0D">
      <w:pPr>
        <w:spacing w:after="200" w:line="276" w:lineRule="auto"/>
        <w:jc w:val="center"/>
        <w:rPr>
          <w:b/>
          <w:sz w:val="32"/>
          <w:szCs w:val="32"/>
          <w:lang w:val="en-US"/>
        </w:rPr>
      </w:pPr>
    </w:p>
    <w:p w:rsidR="002F642D" w:rsidRPr="00A131AE" w:rsidRDefault="00974788" w:rsidP="00B82D0D">
      <w:pPr>
        <w:spacing w:after="200" w:line="276" w:lineRule="auto"/>
        <w:jc w:val="center"/>
        <w:rPr>
          <w:b/>
          <w:sz w:val="32"/>
          <w:szCs w:val="32"/>
        </w:rPr>
      </w:pPr>
      <w:r w:rsidRPr="00A131AE">
        <w:rPr>
          <w:b/>
          <w:sz w:val="32"/>
          <w:szCs w:val="32"/>
        </w:rPr>
        <w:t>ΕΛΛΗΝΙΚΑ ΦΑΡΜΑΚΑ - ΕΡΕΥΝΑ ΚΑΙ ΑΝΑΠΤΥΞΗ - ΑΝΩNΥΜΗ ΕΤΑΙΡΕΙΑ</w:t>
      </w:r>
      <w:r w:rsidR="002F642D" w:rsidRPr="00A131AE">
        <w:rPr>
          <w:b/>
          <w:sz w:val="32"/>
          <w:szCs w:val="32"/>
        </w:rPr>
        <w:t xml:space="preserve"> </w:t>
      </w:r>
    </w:p>
    <w:p w:rsidR="002F642D" w:rsidRPr="00A131AE" w:rsidRDefault="00974788" w:rsidP="00B82D0D">
      <w:pPr>
        <w:spacing w:after="200" w:line="276" w:lineRule="auto"/>
        <w:jc w:val="center"/>
        <w:rPr>
          <w:b/>
          <w:bCs/>
          <w:sz w:val="32"/>
          <w:szCs w:val="32"/>
        </w:rPr>
      </w:pPr>
      <w:r w:rsidRPr="00A131AE">
        <w:rPr>
          <w:b/>
          <w:bCs/>
          <w:sz w:val="32"/>
          <w:szCs w:val="32"/>
        </w:rPr>
        <w:t>(Διακριτικός τίτλος ELDRUG Α.Ε.)</w:t>
      </w:r>
    </w:p>
    <w:p w:rsidR="00F155F4" w:rsidRPr="00A131AE" w:rsidRDefault="00F155F4" w:rsidP="00B82D0D">
      <w:pPr>
        <w:spacing w:after="200" w:line="276" w:lineRule="auto"/>
        <w:jc w:val="center"/>
        <w:rPr>
          <w:b/>
          <w:bCs/>
          <w:sz w:val="32"/>
          <w:szCs w:val="32"/>
        </w:rPr>
      </w:pPr>
    </w:p>
    <w:p w:rsidR="00F155F4" w:rsidRPr="00A131AE" w:rsidRDefault="00F155F4" w:rsidP="00B82D0D">
      <w:pPr>
        <w:spacing w:after="200" w:line="276" w:lineRule="auto"/>
        <w:jc w:val="center"/>
        <w:rPr>
          <w:bCs/>
          <w:sz w:val="32"/>
          <w:szCs w:val="32"/>
        </w:rPr>
      </w:pPr>
      <w:r w:rsidRPr="00A131AE">
        <w:rPr>
          <w:bCs/>
          <w:sz w:val="32"/>
          <w:szCs w:val="32"/>
        </w:rPr>
        <w:t xml:space="preserve">Οδός </w:t>
      </w:r>
      <w:r w:rsidR="00E65C49" w:rsidRPr="00E65C49">
        <w:rPr>
          <w:bCs/>
          <w:sz w:val="32"/>
          <w:szCs w:val="32"/>
        </w:rPr>
        <w:t>ΑΡΧΙΕΠΙΣΚΟΠΟΥ ΙΕΡΟΘΕΟΥ 15 &amp; ΤΑΞΙΑΡΧΩΝ, ΠΑΤΡΑ</w:t>
      </w:r>
    </w:p>
    <w:p w:rsidR="00F155F4" w:rsidRPr="00A131AE" w:rsidRDefault="00F155F4" w:rsidP="00B82D0D">
      <w:pPr>
        <w:spacing w:after="200" w:line="276" w:lineRule="auto"/>
        <w:jc w:val="center"/>
      </w:pPr>
    </w:p>
    <w:p w:rsidR="002F642D" w:rsidRPr="00A131AE" w:rsidRDefault="002F642D" w:rsidP="00B82D0D">
      <w:pPr>
        <w:spacing w:after="200" w:line="276" w:lineRule="auto"/>
        <w:jc w:val="center"/>
        <w:rPr>
          <w:bCs/>
          <w:sz w:val="32"/>
          <w:szCs w:val="32"/>
        </w:rPr>
      </w:pPr>
      <w:r w:rsidRPr="00A131AE">
        <w:rPr>
          <w:bCs/>
          <w:sz w:val="32"/>
          <w:szCs w:val="32"/>
        </w:rPr>
        <w:t>Αρ.Μ.Α.Ε.</w:t>
      </w:r>
      <w:r w:rsidR="00EA458D" w:rsidRPr="00A131AE">
        <w:rPr>
          <w:bCs/>
          <w:sz w:val="32"/>
          <w:szCs w:val="32"/>
        </w:rPr>
        <w:t xml:space="preserve"> 61240/22/Β/06/34</w:t>
      </w:r>
    </w:p>
    <w:p w:rsidR="002F642D" w:rsidRPr="00A131AE" w:rsidRDefault="002F642D" w:rsidP="00B82D0D">
      <w:pPr>
        <w:spacing w:after="200" w:line="276" w:lineRule="auto"/>
        <w:jc w:val="center"/>
        <w:rPr>
          <w:color w:val="000000"/>
          <w:sz w:val="32"/>
          <w:szCs w:val="32"/>
        </w:rPr>
      </w:pPr>
      <w:r w:rsidRPr="00A131AE">
        <w:rPr>
          <w:color w:val="000000"/>
          <w:sz w:val="32"/>
          <w:szCs w:val="32"/>
        </w:rPr>
        <w:t xml:space="preserve">ΑΡΙΘΜΟΣ Γ.Ε.ΜΗ. </w:t>
      </w:r>
      <w:r w:rsidR="007323BC" w:rsidRPr="00A131AE">
        <w:rPr>
          <w:color w:val="000000"/>
          <w:sz w:val="32"/>
          <w:szCs w:val="32"/>
        </w:rPr>
        <w:t>0</w:t>
      </w:r>
      <w:r w:rsidR="00EA458D" w:rsidRPr="00A131AE">
        <w:rPr>
          <w:color w:val="000000"/>
          <w:sz w:val="32"/>
          <w:szCs w:val="32"/>
        </w:rPr>
        <w:t>35522716000</w:t>
      </w:r>
    </w:p>
    <w:p w:rsidR="002F642D" w:rsidRPr="00A131AE" w:rsidRDefault="002F642D" w:rsidP="00B82D0D">
      <w:pPr>
        <w:spacing w:after="200" w:line="276" w:lineRule="auto"/>
        <w:jc w:val="center"/>
        <w:rPr>
          <w:b/>
          <w:color w:val="000000"/>
          <w:sz w:val="22"/>
          <w:szCs w:val="22"/>
        </w:rPr>
      </w:pPr>
    </w:p>
    <w:p w:rsidR="002F642D" w:rsidRPr="00A131AE" w:rsidRDefault="002F642D" w:rsidP="00B82D0D">
      <w:pPr>
        <w:spacing w:after="200" w:line="276" w:lineRule="auto"/>
        <w:jc w:val="center"/>
        <w:rPr>
          <w:b/>
          <w:color w:val="000000"/>
          <w:sz w:val="22"/>
          <w:szCs w:val="22"/>
        </w:rPr>
      </w:pPr>
    </w:p>
    <w:p w:rsidR="002F642D" w:rsidRPr="00A131AE" w:rsidRDefault="002F642D" w:rsidP="00B82D0D">
      <w:pPr>
        <w:spacing w:after="200" w:line="276" w:lineRule="auto"/>
        <w:jc w:val="center"/>
        <w:rPr>
          <w:b/>
          <w:color w:val="000000"/>
          <w:sz w:val="22"/>
          <w:szCs w:val="22"/>
        </w:rPr>
      </w:pPr>
    </w:p>
    <w:p w:rsidR="000C5897" w:rsidRPr="00A131AE" w:rsidRDefault="000C5897" w:rsidP="000C5897">
      <w:pPr>
        <w:spacing w:after="200" w:line="276" w:lineRule="auto"/>
        <w:jc w:val="center"/>
        <w:rPr>
          <w:b/>
          <w:sz w:val="32"/>
          <w:szCs w:val="32"/>
        </w:rPr>
      </w:pPr>
      <w:r w:rsidRPr="00A131AE">
        <w:rPr>
          <w:b/>
          <w:sz w:val="32"/>
          <w:szCs w:val="32"/>
        </w:rPr>
        <w:t>ΧΡΗΜΑΤΟΟΙΚΟΝΟΜΙΚΕΣ ΚΑΤΑΣΤΑΣΕΙΣ</w:t>
      </w:r>
    </w:p>
    <w:p w:rsidR="000C5897" w:rsidRPr="00A131AE" w:rsidRDefault="000C5897" w:rsidP="000C5897">
      <w:pPr>
        <w:spacing w:after="200" w:line="276" w:lineRule="auto"/>
        <w:jc w:val="center"/>
        <w:rPr>
          <w:b/>
          <w:sz w:val="32"/>
          <w:szCs w:val="32"/>
        </w:rPr>
      </w:pPr>
      <w:r w:rsidRPr="00A131AE">
        <w:rPr>
          <w:b/>
          <w:sz w:val="32"/>
          <w:szCs w:val="32"/>
        </w:rPr>
        <w:t>χρήσεως</w:t>
      </w:r>
    </w:p>
    <w:p w:rsidR="000C5897" w:rsidRPr="00BE2324" w:rsidRDefault="000C5897" w:rsidP="000C5897">
      <w:pPr>
        <w:spacing w:after="200" w:line="276" w:lineRule="auto"/>
        <w:jc w:val="center"/>
        <w:rPr>
          <w:b/>
          <w:sz w:val="32"/>
          <w:szCs w:val="32"/>
        </w:rPr>
      </w:pPr>
      <w:r w:rsidRPr="00A131AE">
        <w:rPr>
          <w:b/>
          <w:sz w:val="32"/>
          <w:szCs w:val="32"/>
        </w:rPr>
        <w:t xml:space="preserve">1 Ιανουαρίου </w:t>
      </w:r>
      <w:r w:rsidR="00730C1F">
        <w:rPr>
          <w:b/>
          <w:sz w:val="32"/>
          <w:szCs w:val="32"/>
        </w:rPr>
        <w:t>έως 31 Δεκεμβρίου 20</w:t>
      </w:r>
      <w:r w:rsidR="00E65C49">
        <w:rPr>
          <w:b/>
          <w:sz w:val="32"/>
          <w:szCs w:val="32"/>
        </w:rPr>
        <w:t>21</w:t>
      </w:r>
    </w:p>
    <w:p w:rsidR="000C5897" w:rsidRPr="00A131AE" w:rsidRDefault="000C5897" w:rsidP="000C5897">
      <w:pPr>
        <w:spacing w:after="200" w:line="276" w:lineRule="auto"/>
        <w:jc w:val="center"/>
        <w:rPr>
          <w:b/>
          <w:sz w:val="32"/>
          <w:szCs w:val="32"/>
        </w:rPr>
      </w:pPr>
      <w:r w:rsidRPr="00A131AE">
        <w:rPr>
          <w:b/>
          <w:sz w:val="32"/>
          <w:szCs w:val="32"/>
        </w:rPr>
        <w:t>σύμφωνα με το Ν.4308/2014</w:t>
      </w:r>
    </w:p>
    <w:p w:rsidR="000C5897" w:rsidRPr="00A131AE" w:rsidRDefault="000C5897" w:rsidP="000C5897">
      <w:pPr>
        <w:spacing w:after="200" w:line="276" w:lineRule="auto"/>
        <w:jc w:val="center"/>
        <w:rPr>
          <w:b/>
          <w:sz w:val="32"/>
          <w:szCs w:val="32"/>
        </w:rPr>
      </w:pPr>
      <w:r w:rsidRPr="00A131AE">
        <w:rPr>
          <w:b/>
          <w:sz w:val="32"/>
          <w:szCs w:val="32"/>
        </w:rPr>
        <w:t>(ΕΛΛΗΝΙΚΑ ΛΟΓΙΣΤΙΚΑ ΠΡΟΤΥΠΑ)</w:t>
      </w:r>
    </w:p>
    <w:p w:rsidR="002F642D" w:rsidRPr="00A131AE" w:rsidRDefault="002F642D" w:rsidP="00B82D0D">
      <w:pPr>
        <w:spacing w:after="200" w:line="276" w:lineRule="auto"/>
        <w:jc w:val="center"/>
        <w:rPr>
          <w:b/>
          <w:color w:val="000000"/>
          <w:sz w:val="22"/>
          <w:szCs w:val="22"/>
          <w:highlight w:val="yellow"/>
        </w:rPr>
      </w:pPr>
    </w:p>
    <w:p w:rsidR="009F6C7A" w:rsidRPr="00A131AE" w:rsidRDefault="00525929" w:rsidP="00AA777E">
      <w:pPr>
        <w:jc w:val="center"/>
        <w:rPr>
          <w:b/>
          <w:spacing w:val="20"/>
          <w:sz w:val="40"/>
          <w:szCs w:val="40"/>
          <w:highlight w:val="yellow"/>
        </w:rPr>
      </w:pPr>
      <w:r w:rsidRPr="00A131AE">
        <w:rPr>
          <w:b/>
          <w:spacing w:val="20"/>
          <w:sz w:val="40"/>
          <w:szCs w:val="40"/>
          <w:highlight w:val="yellow"/>
        </w:rPr>
        <w:lastRenderedPageBreak/>
        <w:br w:type="page"/>
      </w:r>
      <w:bookmarkStart w:id="1" w:name="_Toc446004040"/>
      <w:bookmarkStart w:id="2" w:name="_Toc446405461"/>
    </w:p>
    <w:p w:rsidR="00AA777E" w:rsidRPr="00A131AE" w:rsidRDefault="00AA777E" w:rsidP="00AA777E">
      <w:pPr>
        <w:jc w:val="center"/>
        <w:rPr>
          <w:b/>
          <w:spacing w:val="20"/>
          <w:sz w:val="40"/>
          <w:szCs w:val="40"/>
          <w:highlight w:val="yellow"/>
        </w:rPr>
      </w:pPr>
    </w:p>
    <w:p w:rsidR="00AA777E" w:rsidRPr="00A131AE" w:rsidRDefault="00AA777E" w:rsidP="00AA777E">
      <w:pPr>
        <w:jc w:val="center"/>
        <w:rPr>
          <w:highlight w:val="yellow"/>
          <w:lang w:eastAsia="en-US"/>
        </w:rPr>
      </w:pPr>
    </w:p>
    <w:p w:rsidR="009F6C7A" w:rsidRPr="00A131AE" w:rsidRDefault="009F6C7A" w:rsidP="009F6C7A">
      <w:pPr>
        <w:rPr>
          <w:highlight w:val="yellow"/>
          <w:lang w:eastAsia="en-US"/>
        </w:rPr>
      </w:pPr>
    </w:p>
    <w:p w:rsidR="009F6C7A" w:rsidRPr="00A131AE" w:rsidRDefault="009F6C7A" w:rsidP="009F6C7A">
      <w:pPr>
        <w:rPr>
          <w:lang w:eastAsia="en-US"/>
        </w:rPr>
      </w:pPr>
    </w:p>
    <w:p w:rsidR="009F6C7A" w:rsidRPr="00A131AE" w:rsidRDefault="009F6C7A" w:rsidP="009F6C7A">
      <w:pPr>
        <w:spacing w:after="200" w:line="276" w:lineRule="auto"/>
        <w:jc w:val="center"/>
        <w:rPr>
          <w:b/>
          <w:sz w:val="32"/>
          <w:szCs w:val="32"/>
        </w:rPr>
      </w:pPr>
      <w:r w:rsidRPr="00A131AE">
        <w:rPr>
          <w:b/>
          <w:sz w:val="32"/>
          <w:szCs w:val="32"/>
        </w:rPr>
        <w:t xml:space="preserve">ΕΛΛΗΝΙΚΑ ΦΑΡΜΑΚΑ - ΕΡΕΥΝΑ ΚΑΙ ΑΝΑΠΤΥΞΗ - ΑΝΩNΥΜΗ ΕΤΑΙΡΕΙΑ </w:t>
      </w:r>
    </w:p>
    <w:p w:rsidR="009F6C7A" w:rsidRPr="00A131AE" w:rsidRDefault="009F6C7A" w:rsidP="009F6C7A">
      <w:pPr>
        <w:spacing w:after="200" w:line="276" w:lineRule="auto"/>
        <w:jc w:val="center"/>
        <w:rPr>
          <w:b/>
          <w:bCs/>
          <w:sz w:val="32"/>
          <w:szCs w:val="32"/>
        </w:rPr>
      </w:pPr>
      <w:r w:rsidRPr="00A131AE">
        <w:rPr>
          <w:b/>
          <w:bCs/>
          <w:sz w:val="32"/>
          <w:szCs w:val="32"/>
        </w:rPr>
        <w:t>(Διακριτικός τίτλος ELDRUG Α.Ε.)</w:t>
      </w:r>
    </w:p>
    <w:p w:rsidR="009F6C7A" w:rsidRPr="00A131AE" w:rsidRDefault="009F6C7A" w:rsidP="009F6C7A">
      <w:pPr>
        <w:rPr>
          <w:lang w:eastAsia="en-US"/>
        </w:rPr>
      </w:pPr>
    </w:p>
    <w:p w:rsidR="001B0439" w:rsidRPr="00A131AE" w:rsidRDefault="001B0439" w:rsidP="001B0439">
      <w:pPr>
        <w:rPr>
          <w:lang w:eastAsia="en-US"/>
        </w:rPr>
      </w:pPr>
    </w:p>
    <w:p w:rsidR="001B0439" w:rsidRPr="00A131AE" w:rsidRDefault="001B0439" w:rsidP="001B0439">
      <w:pPr>
        <w:rPr>
          <w:lang w:eastAsia="en-US"/>
        </w:rPr>
      </w:pPr>
    </w:p>
    <w:p w:rsidR="001B0439" w:rsidRPr="00A131AE" w:rsidRDefault="001B0439" w:rsidP="001B0439">
      <w:pPr>
        <w:rPr>
          <w:lang w:eastAsia="en-US"/>
        </w:rPr>
      </w:pPr>
    </w:p>
    <w:p w:rsidR="001B0439" w:rsidRPr="00A131AE" w:rsidRDefault="001B0439" w:rsidP="001B0439">
      <w:pPr>
        <w:rPr>
          <w:lang w:eastAsia="en-US"/>
        </w:rPr>
      </w:pPr>
    </w:p>
    <w:p w:rsidR="001B0439" w:rsidRPr="00A131AE" w:rsidRDefault="001B0439" w:rsidP="001B0439">
      <w:pPr>
        <w:rPr>
          <w:lang w:eastAsia="en-US"/>
        </w:rPr>
      </w:pPr>
    </w:p>
    <w:p w:rsidR="001B0439" w:rsidRPr="00A131AE" w:rsidRDefault="001B0439" w:rsidP="001B0439">
      <w:pPr>
        <w:spacing w:after="200" w:line="276" w:lineRule="auto"/>
        <w:jc w:val="center"/>
        <w:rPr>
          <w:b/>
          <w:sz w:val="32"/>
          <w:szCs w:val="32"/>
        </w:rPr>
      </w:pPr>
      <w:r w:rsidRPr="00A131AE">
        <w:rPr>
          <w:b/>
          <w:sz w:val="32"/>
          <w:szCs w:val="32"/>
        </w:rPr>
        <w:t>ΧΡΗΜΑΤΟΟΙΚΟΝΟΜΙΚΕΣ ΚΑΤΑΣΤΑΣΕΙΣ</w:t>
      </w:r>
    </w:p>
    <w:p w:rsidR="001B0439" w:rsidRPr="00A131AE" w:rsidRDefault="001B0439" w:rsidP="001B0439">
      <w:pPr>
        <w:spacing w:after="200" w:line="276" w:lineRule="auto"/>
        <w:jc w:val="center"/>
        <w:rPr>
          <w:b/>
          <w:sz w:val="32"/>
          <w:szCs w:val="32"/>
        </w:rPr>
      </w:pPr>
      <w:r w:rsidRPr="00A131AE">
        <w:rPr>
          <w:b/>
          <w:sz w:val="32"/>
          <w:szCs w:val="32"/>
        </w:rPr>
        <w:t>χρήσεως</w:t>
      </w:r>
    </w:p>
    <w:p w:rsidR="001B0439" w:rsidRPr="00FC0F5F" w:rsidRDefault="001B0439" w:rsidP="001B0439">
      <w:pPr>
        <w:spacing w:after="200" w:line="276" w:lineRule="auto"/>
        <w:jc w:val="center"/>
        <w:rPr>
          <w:b/>
          <w:sz w:val="32"/>
          <w:szCs w:val="32"/>
        </w:rPr>
      </w:pPr>
      <w:r w:rsidRPr="00A131AE">
        <w:rPr>
          <w:b/>
          <w:sz w:val="32"/>
          <w:szCs w:val="32"/>
        </w:rPr>
        <w:t>1 Ι</w:t>
      </w:r>
      <w:r w:rsidR="00E65C49">
        <w:rPr>
          <w:b/>
          <w:sz w:val="32"/>
          <w:szCs w:val="32"/>
        </w:rPr>
        <w:t>ανουαρίου έως 31 Δεκεμβρίου 2021</w:t>
      </w:r>
    </w:p>
    <w:p w:rsidR="001B0439" w:rsidRPr="00A131AE" w:rsidRDefault="001B0439" w:rsidP="001B0439">
      <w:pPr>
        <w:spacing w:after="200" w:line="276" w:lineRule="auto"/>
        <w:jc w:val="center"/>
        <w:rPr>
          <w:b/>
          <w:sz w:val="32"/>
          <w:szCs w:val="32"/>
        </w:rPr>
      </w:pPr>
      <w:r w:rsidRPr="00A131AE">
        <w:rPr>
          <w:b/>
          <w:sz w:val="32"/>
          <w:szCs w:val="32"/>
        </w:rPr>
        <w:t>σύμφωνα με το Ν.4308/2014</w:t>
      </w:r>
    </w:p>
    <w:p w:rsidR="001B0439" w:rsidRPr="00A131AE" w:rsidRDefault="001B0439" w:rsidP="001B0439">
      <w:pPr>
        <w:spacing w:after="200" w:line="276" w:lineRule="auto"/>
        <w:jc w:val="center"/>
        <w:rPr>
          <w:b/>
          <w:sz w:val="32"/>
          <w:szCs w:val="32"/>
        </w:rPr>
      </w:pPr>
      <w:r w:rsidRPr="00A131AE">
        <w:rPr>
          <w:b/>
          <w:sz w:val="32"/>
          <w:szCs w:val="32"/>
        </w:rPr>
        <w:t>(ΕΛΛΗΝΙΚΑ ΛΟΓΙΣΤΙΚΑ ΠΡΟΤΥΠΑ)</w:t>
      </w:r>
    </w:p>
    <w:p w:rsidR="001B0439" w:rsidRPr="00A131AE" w:rsidRDefault="001B0439" w:rsidP="001B0439">
      <w:pPr>
        <w:shd w:val="clear" w:color="auto" w:fill="FFFFFF"/>
        <w:spacing w:after="200" w:line="276" w:lineRule="auto"/>
        <w:ind w:left="5" w:right="14" w:firstLine="562"/>
        <w:jc w:val="both"/>
        <w:rPr>
          <w:sz w:val="22"/>
          <w:szCs w:val="22"/>
          <w:highlight w:val="yellow"/>
        </w:rPr>
      </w:pPr>
    </w:p>
    <w:p w:rsidR="001B0439" w:rsidRPr="00A131AE" w:rsidRDefault="001B0439" w:rsidP="001B0439">
      <w:pPr>
        <w:shd w:val="clear" w:color="auto" w:fill="FFFFFF"/>
        <w:spacing w:after="200" w:line="276" w:lineRule="auto"/>
        <w:ind w:left="5" w:right="14" w:firstLine="562"/>
        <w:jc w:val="both"/>
        <w:rPr>
          <w:sz w:val="22"/>
          <w:szCs w:val="22"/>
          <w:highlight w:val="yellow"/>
        </w:rPr>
      </w:pPr>
    </w:p>
    <w:p w:rsidR="003506D2" w:rsidRPr="00247F2B" w:rsidRDefault="003506D2" w:rsidP="00AA777E">
      <w:pPr>
        <w:rPr>
          <w:highlight w:val="yellow"/>
          <w:lang w:eastAsia="en-US"/>
        </w:rPr>
        <w:sectPr w:rsidR="003506D2" w:rsidRPr="00247F2B" w:rsidSect="003506D2">
          <w:headerReference w:type="default" r:id="rId9"/>
          <w:footerReference w:type="default" r:id="rId10"/>
          <w:headerReference w:type="first" r:id="rId11"/>
          <w:footerReference w:type="first" r:id="rId12"/>
          <w:pgSz w:w="11906" w:h="16838" w:code="9"/>
          <w:pgMar w:top="1418" w:right="1418" w:bottom="1191" w:left="1418" w:header="1134" w:footer="680" w:gutter="0"/>
          <w:cols w:space="708"/>
          <w:titlePg/>
          <w:docGrid w:linePitch="360"/>
        </w:sectPr>
      </w:pPr>
      <w:bookmarkStart w:id="3" w:name="_GoBack"/>
      <w:bookmarkEnd w:id="3"/>
    </w:p>
    <w:p w:rsidR="004A2266" w:rsidRPr="001D11B6" w:rsidRDefault="00614F01" w:rsidP="003506D2">
      <w:pPr>
        <w:pStyle w:val="1"/>
        <w:jc w:val="left"/>
        <w:rPr>
          <w:lang w:val="el-GR"/>
        </w:rPr>
      </w:pPr>
      <w:bookmarkStart w:id="4" w:name="_Toc488058528"/>
      <w:bookmarkStart w:id="5" w:name="_Toc15545989"/>
      <w:bookmarkEnd w:id="1"/>
      <w:bookmarkEnd w:id="2"/>
      <w:r w:rsidRPr="001D11B6">
        <w:lastRenderedPageBreak/>
        <w:t>ΙΣΟΛΟΓΙΣΜΟΣ της 31/12/20</w:t>
      </w:r>
      <w:bookmarkEnd w:id="4"/>
      <w:bookmarkEnd w:id="5"/>
      <w:r w:rsidR="00012256">
        <w:t>21</w:t>
      </w:r>
    </w:p>
    <w:p w:rsidR="005D16F6" w:rsidRPr="00FC0F5F" w:rsidRDefault="005D16F6" w:rsidP="005D16F6">
      <w:pPr>
        <w:rPr>
          <w:highlight w:val="yellow"/>
          <w:lang w:eastAsia="en-US"/>
        </w:rPr>
      </w:pPr>
    </w:p>
    <w:tbl>
      <w:tblPr>
        <w:tblW w:w="5000" w:type="pct"/>
        <w:tblLook w:val="04A0" w:firstRow="1" w:lastRow="0" w:firstColumn="1" w:lastColumn="0" w:noHBand="0" w:noVBand="1"/>
      </w:tblPr>
      <w:tblGrid>
        <w:gridCol w:w="272"/>
        <w:gridCol w:w="273"/>
        <w:gridCol w:w="4779"/>
        <w:gridCol w:w="1178"/>
        <w:gridCol w:w="1405"/>
        <w:gridCol w:w="1437"/>
      </w:tblGrid>
      <w:tr w:rsidR="003B577F" w:rsidTr="003B577F">
        <w:trPr>
          <w:trHeight w:val="330"/>
        </w:trPr>
        <w:tc>
          <w:tcPr>
            <w:tcW w:w="2851" w:type="pct"/>
            <w:gridSpan w:val="3"/>
            <w:tcBorders>
              <w:top w:val="single" w:sz="4" w:space="0" w:color="auto"/>
              <w:left w:val="single" w:sz="4" w:space="0" w:color="auto"/>
              <w:bottom w:val="nil"/>
              <w:right w:val="nil"/>
            </w:tcBorders>
            <w:shd w:val="clear" w:color="auto" w:fill="auto"/>
            <w:noWrap/>
            <w:vAlign w:val="bottom"/>
            <w:hideMark/>
          </w:tcPr>
          <w:p w:rsidR="003B577F" w:rsidRDefault="003B577F">
            <w:pPr>
              <w:rPr>
                <w:b/>
                <w:bCs/>
                <w:sz w:val="22"/>
                <w:szCs w:val="22"/>
              </w:rPr>
            </w:pPr>
            <w:r>
              <w:rPr>
                <w:b/>
                <w:bCs/>
                <w:sz w:val="22"/>
                <w:szCs w:val="22"/>
              </w:rPr>
              <w:t>ΕΝΕΡΓΗΤΙΚΟ</w:t>
            </w:r>
          </w:p>
        </w:tc>
        <w:tc>
          <w:tcPr>
            <w:tcW w:w="530" w:type="pct"/>
            <w:tcBorders>
              <w:top w:val="single" w:sz="4" w:space="0" w:color="auto"/>
              <w:left w:val="nil"/>
              <w:bottom w:val="nil"/>
              <w:right w:val="nil"/>
            </w:tcBorders>
            <w:shd w:val="clear" w:color="auto" w:fill="auto"/>
            <w:noWrap/>
            <w:vAlign w:val="bottom"/>
            <w:hideMark/>
          </w:tcPr>
          <w:p w:rsidR="003B577F" w:rsidRDefault="003B577F">
            <w:pPr>
              <w:rPr>
                <w:b/>
                <w:bCs/>
                <w:color w:val="000000"/>
                <w:sz w:val="22"/>
                <w:szCs w:val="22"/>
                <w:u w:val="single"/>
              </w:rPr>
            </w:pPr>
            <w:r>
              <w:rPr>
                <w:b/>
                <w:bCs/>
                <w:color w:val="000000"/>
                <w:sz w:val="22"/>
                <w:szCs w:val="22"/>
                <w:u w:val="single"/>
              </w:rPr>
              <w:t>Σημείωση</w:t>
            </w:r>
          </w:p>
        </w:tc>
        <w:tc>
          <w:tcPr>
            <w:tcW w:w="801" w:type="pct"/>
            <w:tcBorders>
              <w:top w:val="single" w:sz="4" w:space="0" w:color="auto"/>
              <w:left w:val="single" w:sz="4" w:space="0" w:color="auto"/>
              <w:bottom w:val="nil"/>
              <w:right w:val="nil"/>
            </w:tcBorders>
            <w:shd w:val="clear" w:color="auto" w:fill="auto"/>
            <w:noWrap/>
            <w:vAlign w:val="bottom"/>
            <w:hideMark/>
          </w:tcPr>
          <w:p w:rsidR="003B577F" w:rsidRDefault="003B577F">
            <w:pPr>
              <w:jc w:val="right"/>
              <w:rPr>
                <w:b/>
                <w:bCs/>
                <w:sz w:val="22"/>
                <w:szCs w:val="22"/>
                <w:u w:val="single"/>
              </w:rPr>
            </w:pPr>
            <w:r>
              <w:rPr>
                <w:b/>
                <w:bCs/>
                <w:sz w:val="22"/>
                <w:szCs w:val="22"/>
                <w:u w:val="single"/>
              </w:rPr>
              <w:t>31/12/21</w:t>
            </w:r>
          </w:p>
        </w:tc>
        <w:tc>
          <w:tcPr>
            <w:tcW w:w="819" w:type="pct"/>
            <w:tcBorders>
              <w:top w:val="single" w:sz="4" w:space="0" w:color="auto"/>
              <w:left w:val="single" w:sz="4" w:space="0" w:color="auto"/>
              <w:bottom w:val="nil"/>
              <w:right w:val="single" w:sz="4" w:space="0" w:color="auto"/>
            </w:tcBorders>
            <w:shd w:val="clear" w:color="auto" w:fill="auto"/>
            <w:noWrap/>
            <w:vAlign w:val="bottom"/>
            <w:hideMark/>
          </w:tcPr>
          <w:p w:rsidR="003B577F" w:rsidRDefault="003B577F">
            <w:pPr>
              <w:jc w:val="right"/>
              <w:rPr>
                <w:b/>
                <w:bCs/>
                <w:color w:val="000000"/>
                <w:sz w:val="22"/>
                <w:szCs w:val="22"/>
                <w:u w:val="single"/>
              </w:rPr>
            </w:pPr>
            <w:r>
              <w:rPr>
                <w:b/>
                <w:bCs/>
                <w:color w:val="000000"/>
                <w:sz w:val="22"/>
                <w:szCs w:val="22"/>
                <w:u w:val="single"/>
              </w:rPr>
              <w:t>31/12/20</w:t>
            </w:r>
          </w:p>
        </w:tc>
      </w:tr>
      <w:tr w:rsidR="003B577F" w:rsidTr="003B577F">
        <w:trPr>
          <w:trHeight w:val="330"/>
        </w:trPr>
        <w:tc>
          <w:tcPr>
            <w:tcW w:w="2851" w:type="pct"/>
            <w:gridSpan w:val="3"/>
            <w:tcBorders>
              <w:top w:val="nil"/>
              <w:left w:val="single" w:sz="4" w:space="0" w:color="auto"/>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 xml:space="preserve">Μη </w:t>
            </w:r>
            <w:proofErr w:type="spellStart"/>
            <w:r>
              <w:rPr>
                <w:b/>
                <w:bCs/>
                <w:color w:val="000000"/>
                <w:sz w:val="22"/>
                <w:szCs w:val="22"/>
              </w:rPr>
              <w:t>κυκλοφορούντα</w:t>
            </w:r>
            <w:proofErr w:type="spellEnd"/>
            <w:r>
              <w:rPr>
                <w:b/>
                <w:bCs/>
                <w:color w:val="000000"/>
                <w:sz w:val="22"/>
                <w:szCs w:val="22"/>
              </w:rPr>
              <w:t xml:space="preserve"> περιουσιακά στοιχεία</w:t>
            </w:r>
          </w:p>
        </w:tc>
        <w:tc>
          <w:tcPr>
            <w:tcW w:w="530"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29" w:type="pct"/>
            <w:gridSpan w:val="2"/>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Ενσώματα πάγια</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Μηχανολογικός εξοπλισμός</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6.1</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2.293,28</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3.096,34</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Λοιπός εξοπλισμός</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6.1</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201,14</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253,74</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Επενδύσεις σε ακίνητα</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6.2</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59.430,00</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59.430,00</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Σύνολο</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61.924,42</w:t>
            </w:r>
          </w:p>
        </w:tc>
        <w:tc>
          <w:tcPr>
            <w:tcW w:w="81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62.780,08</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29" w:type="pct"/>
            <w:gridSpan w:val="2"/>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Άυλα πάγια στοιχεία</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Λοιπά άυλα</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6.3</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10.000,11</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10.000,11</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Σύνολο</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10.000,11</w:t>
            </w:r>
          </w:p>
        </w:tc>
        <w:tc>
          <w:tcPr>
            <w:tcW w:w="81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10.000,11</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29" w:type="pct"/>
            <w:gridSpan w:val="2"/>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Χρηματοοικονομικά περιουσιακά στοιχεία</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Λοιπά</w:t>
            </w:r>
          </w:p>
        </w:tc>
        <w:tc>
          <w:tcPr>
            <w:tcW w:w="530"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900,00</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900,00</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Σύνολο</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900,00</w:t>
            </w:r>
          </w:p>
        </w:tc>
        <w:tc>
          <w:tcPr>
            <w:tcW w:w="81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900,00</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29" w:type="pct"/>
            <w:gridSpan w:val="2"/>
            <w:tcBorders>
              <w:top w:val="nil"/>
              <w:left w:val="nil"/>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 xml:space="preserve">Σύνολο μη </w:t>
            </w:r>
            <w:proofErr w:type="spellStart"/>
            <w:r>
              <w:rPr>
                <w:b/>
                <w:bCs/>
                <w:color w:val="000000"/>
                <w:sz w:val="22"/>
                <w:szCs w:val="22"/>
              </w:rPr>
              <w:t>κυκλοφορούντων</w:t>
            </w:r>
            <w:proofErr w:type="spellEnd"/>
          </w:p>
        </w:tc>
        <w:tc>
          <w:tcPr>
            <w:tcW w:w="530"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1"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sz w:val="22"/>
                <w:szCs w:val="22"/>
              </w:rPr>
            </w:pPr>
            <w:r>
              <w:rPr>
                <w:b/>
                <w:bCs/>
                <w:sz w:val="22"/>
                <w:szCs w:val="22"/>
              </w:rPr>
              <w:t>72.824,53</w:t>
            </w:r>
          </w:p>
        </w:tc>
        <w:tc>
          <w:tcPr>
            <w:tcW w:w="81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73.680,19</w:t>
            </w:r>
          </w:p>
        </w:tc>
      </w:tr>
      <w:tr w:rsidR="003B577F" w:rsidTr="003B577F">
        <w:trPr>
          <w:trHeight w:val="330"/>
        </w:trPr>
        <w:tc>
          <w:tcPr>
            <w:tcW w:w="2851" w:type="pct"/>
            <w:gridSpan w:val="3"/>
            <w:tcBorders>
              <w:top w:val="nil"/>
              <w:left w:val="single" w:sz="4" w:space="0" w:color="auto"/>
              <w:bottom w:val="nil"/>
              <w:right w:val="nil"/>
            </w:tcBorders>
            <w:shd w:val="clear" w:color="auto" w:fill="auto"/>
            <w:noWrap/>
            <w:vAlign w:val="bottom"/>
            <w:hideMark/>
          </w:tcPr>
          <w:p w:rsidR="003B577F" w:rsidRDefault="003B577F">
            <w:pPr>
              <w:rPr>
                <w:b/>
                <w:bCs/>
                <w:color w:val="000000"/>
                <w:sz w:val="22"/>
                <w:szCs w:val="22"/>
              </w:rPr>
            </w:pPr>
            <w:proofErr w:type="spellStart"/>
            <w:r>
              <w:rPr>
                <w:b/>
                <w:bCs/>
                <w:color w:val="000000"/>
                <w:sz w:val="22"/>
                <w:szCs w:val="22"/>
              </w:rPr>
              <w:t>Κυκλοφορούντα</w:t>
            </w:r>
            <w:proofErr w:type="spellEnd"/>
            <w:r>
              <w:rPr>
                <w:b/>
                <w:bCs/>
                <w:color w:val="000000"/>
                <w:sz w:val="22"/>
                <w:szCs w:val="22"/>
              </w:rPr>
              <w:t xml:space="preserve"> περιουσιακά στοιχεία</w:t>
            </w:r>
          </w:p>
        </w:tc>
        <w:tc>
          <w:tcPr>
            <w:tcW w:w="530"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29" w:type="pct"/>
            <w:gridSpan w:val="2"/>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Χρηματοοικονομικά στοιχεία και προκαταβολές</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Εμπορικές απαιτήσεις</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7.2.1</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248,00</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124,00</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Δουλευμένα έσοδα περιόδου</w:t>
            </w:r>
          </w:p>
        </w:tc>
        <w:tc>
          <w:tcPr>
            <w:tcW w:w="530"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804,80</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Λοιπές απαιτήσεις</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7.2.2</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35.201,68</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34.825,41</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Προπληρωμένα έξοδα</w:t>
            </w:r>
          </w:p>
        </w:tc>
        <w:tc>
          <w:tcPr>
            <w:tcW w:w="530"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0,00</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50,00</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Ταμειακά διαθέσιμα και ισοδύναμα</w:t>
            </w:r>
          </w:p>
        </w:tc>
        <w:tc>
          <w:tcPr>
            <w:tcW w:w="530"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7.2.3</w:t>
            </w:r>
          </w:p>
        </w:tc>
        <w:tc>
          <w:tcPr>
            <w:tcW w:w="801"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5.083,29</w:t>
            </w:r>
          </w:p>
        </w:tc>
        <w:tc>
          <w:tcPr>
            <w:tcW w:w="819"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6.258,12</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Σύνολο</w:t>
            </w:r>
          </w:p>
        </w:tc>
        <w:tc>
          <w:tcPr>
            <w:tcW w:w="530"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1"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41.337,77</w:t>
            </w:r>
          </w:p>
        </w:tc>
        <w:tc>
          <w:tcPr>
            <w:tcW w:w="81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41.257,53</w:t>
            </w:r>
          </w:p>
        </w:tc>
      </w:tr>
      <w:tr w:rsidR="003B577F" w:rsidTr="003B577F">
        <w:trPr>
          <w:trHeight w:val="330"/>
        </w:trPr>
        <w:tc>
          <w:tcPr>
            <w:tcW w:w="122"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nil"/>
              <w:right w:val="nil"/>
            </w:tcBorders>
            <w:shd w:val="clear" w:color="auto" w:fill="auto"/>
            <w:noWrap/>
            <w:vAlign w:val="bottom"/>
            <w:hideMark/>
          </w:tcPr>
          <w:p w:rsidR="003B577F" w:rsidRDefault="003B577F">
            <w:pPr>
              <w:rPr>
                <w:sz w:val="22"/>
                <w:szCs w:val="22"/>
              </w:rPr>
            </w:pPr>
          </w:p>
        </w:tc>
        <w:tc>
          <w:tcPr>
            <w:tcW w:w="2607"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 xml:space="preserve">Σύνολο </w:t>
            </w:r>
            <w:proofErr w:type="spellStart"/>
            <w:r>
              <w:rPr>
                <w:b/>
                <w:bCs/>
                <w:color w:val="000000"/>
                <w:sz w:val="22"/>
                <w:szCs w:val="22"/>
              </w:rPr>
              <w:t>κυκλοφορούντων</w:t>
            </w:r>
            <w:proofErr w:type="spellEnd"/>
          </w:p>
        </w:tc>
        <w:tc>
          <w:tcPr>
            <w:tcW w:w="530"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1"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sz w:val="22"/>
                <w:szCs w:val="22"/>
              </w:rPr>
            </w:pPr>
            <w:r>
              <w:rPr>
                <w:b/>
                <w:bCs/>
                <w:sz w:val="22"/>
                <w:szCs w:val="22"/>
              </w:rPr>
              <w:t>41.337,77</w:t>
            </w:r>
          </w:p>
        </w:tc>
        <w:tc>
          <w:tcPr>
            <w:tcW w:w="819"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41.257,53</w:t>
            </w:r>
          </w:p>
        </w:tc>
      </w:tr>
      <w:tr w:rsidR="003B577F" w:rsidTr="003B577F">
        <w:trPr>
          <w:trHeight w:val="330"/>
        </w:trPr>
        <w:tc>
          <w:tcPr>
            <w:tcW w:w="122" w:type="pct"/>
            <w:tcBorders>
              <w:top w:val="nil"/>
              <w:left w:val="single" w:sz="4" w:space="0" w:color="auto"/>
              <w:bottom w:val="single" w:sz="4" w:space="0" w:color="auto"/>
              <w:right w:val="nil"/>
            </w:tcBorders>
            <w:shd w:val="clear" w:color="auto" w:fill="auto"/>
            <w:noWrap/>
            <w:vAlign w:val="bottom"/>
            <w:hideMark/>
          </w:tcPr>
          <w:p w:rsidR="003B577F" w:rsidRDefault="003B577F">
            <w:pPr>
              <w:rPr>
                <w:sz w:val="22"/>
                <w:szCs w:val="22"/>
              </w:rPr>
            </w:pPr>
            <w:r>
              <w:rPr>
                <w:sz w:val="22"/>
                <w:szCs w:val="22"/>
              </w:rPr>
              <w:t> </w:t>
            </w:r>
          </w:p>
        </w:tc>
        <w:tc>
          <w:tcPr>
            <w:tcW w:w="122" w:type="pct"/>
            <w:tcBorders>
              <w:top w:val="nil"/>
              <w:left w:val="nil"/>
              <w:bottom w:val="single" w:sz="4" w:space="0" w:color="auto"/>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 </w:t>
            </w:r>
          </w:p>
        </w:tc>
        <w:tc>
          <w:tcPr>
            <w:tcW w:w="2607" w:type="pct"/>
            <w:tcBorders>
              <w:top w:val="nil"/>
              <w:left w:val="nil"/>
              <w:bottom w:val="single" w:sz="4" w:space="0" w:color="auto"/>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Σύνολο ενεργητικού</w:t>
            </w:r>
          </w:p>
        </w:tc>
        <w:tc>
          <w:tcPr>
            <w:tcW w:w="530" w:type="pct"/>
            <w:tcBorders>
              <w:top w:val="nil"/>
              <w:left w:val="nil"/>
              <w:bottom w:val="single" w:sz="4" w:space="0" w:color="auto"/>
              <w:right w:val="nil"/>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801" w:type="pct"/>
            <w:tcBorders>
              <w:top w:val="single" w:sz="4" w:space="0" w:color="auto"/>
              <w:left w:val="single" w:sz="4" w:space="0" w:color="auto"/>
              <w:bottom w:val="single" w:sz="4" w:space="0" w:color="auto"/>
              <w:right w:val="nil"/>
            </w:tcBorders>
            <w:shd w:val="clear" w:color="auto" w:fill="auto"/>
            <w:noWrap/>
            <w:vAlign w:val="bottom"/>
            <w:hideMark/>
          </w:tcPr>
          <w:p w:rsidR="003B577F" w:rsidRDefault="003B577F">
            <w:pPr>
              <w:jc w:val="right"/>
              <w:rPr>
                <w:b/>
                <w:bCs/>
                <w:sz w:val="22"/>
                <w:szCs w:val="22"/>
              </w:rPr>
            </w:pPr>
            <w:r>
              <w:rPr>
                <w:b/>
                <w:bCs/>
                <w:sz w:val="22"/>
                <w:szCs w:val="22"/>
              </w:rPr>
              <w:t>114.162,30</w:t>
            </w:r>
          </w:p>
        </w:tc>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114.937,72</w:t>
            </w:r>
          </w:p>
        </w:tc>
      </w:tr>
    </w:tbl>
    <w:p w:rsidR="00F14C81" w:rsidRPr="00A131AE" w:rsidRDefault="00F14C81">
      <w:pPr>
        <w:tabs>
          <w:tab w:val="left" w:pos="5253"/>
          <w:tab w:val="left" w:pos="6062"/>
          <w:tab w:val="left" w:pos="7542"/>
        </w:tabs>
        <w:ind w:left="93"/>
        <w:rPr>
          <w:b/>
          <w:bCs/>
          <w:color w:val="000000"/>
          <w:sz w:val="18"/>
          <w:szCs w:val="18"/>
          <w:highlight w:val="yellow"/>
        </w:rPr>
      </w:pPr>
    </w:p>
    <w:p w:rsidR="004841CE" w:rsidRPr="00A131AE" w:rsidRDefault="00F14C81">
      <w:pPr>
        <w:tabs>
          <w:tab w:val="left" w:pos="5253"/>
          <w:tab w:val="left" w:pos="6062"/>
          <w:tab w:val="left" w:pos="7542"/>
        </w:tabs>
        <w:ind w:left="93"/>
        <w:rPr>
          <w:b/>
          <w:bCs/>
          <w:color w:val="000000"/>
          <w:sz w:val="18"/>
          <w:szCs w:val="18"/>
          <w:highlight w:val="yellow"/>
        </w:rPr>
      </w:pPr>
      <w:r w:rsidRPr="00A131AE">
        <w:rPr>
          <w:b/>
          <w:bCs/>
          <w:color w:val="000000"/>
          <w:sz w:val="18"/>
          <w:szCs w:val="18"/>
          <w:highlight w:val="yellow"/>
        </w:rPr>
        <w:br w:type="page"/>
      </w:r>
    </w:p>
    <w:tbl>
      <w:tblPr>
        <w:tblW w:w="5000" w:type="pct"/>
        <w:tblLook w:val="04A0" w:firstRow="1" w:lastRow="0" w:firstColumn="1" w:lastColumn="0" w:noHBand="0" w:noVBand="1"/>
      </w:tblPr>
      <w:tblGrid>
        <w:gridCol w:w="271"/>
        <w:gridCol w:w="272"/>
        <w:gridCol w:w="4733"/>
        <w:gridCol w:w="1178"/>
        <w:gridCol w:w="1445"/>
        <w:gridCol w:w="1445"/>
      </w:tblGrid>
      <w:tr w:rsidR="003B577F" w:rsidTr="003B577F">
        <w:trPr>
          <w:trHeight w:val="330"/>
        </w:trPr>
        <w:tc>
          <w:tcPr>
            <w:tcW w:w="2833" w:type="pct"/>
            <w:gridSpan w:val="3"/>
            <w:tcBorders>
              <w:top w:val="single" w:sz="4" w:space="0" w:color="auto"/>
              <w:left w:val="single" w:sz="4" w:space="0" w:color="auto"/>
              <w:bottom w:val="nil"/>
              <w:right w:val="nil"/>
            </w:tcBorders>
            <w:shd w:val="clear" w:color="auto" w:fill="auto"/>
            <w:noWrap/>
            <w:vAlign w:val="bottom"/>
            <w:hideMark/>
          </w:tcPr>
          <w:p w:rsidR="003B577F" w:rsidRDefault="003B577F">
            <w:pPr>
              <w:rPr>
                <w:b/>
                <w:bCs/>
                <w:sz w:val="22"/>
                <w:szCs w:val="22"/>
              </w:rPr>
            </w:pPr>
            <w:r>
              <w:rPr>
                <w:b/>
                <w:bCs/>
                <w:sz w:val="22"/>
                <w:szCs w:val="22"/>
              </w:rPr>
              <w:lastRenderedPageBreak/>
              <w:t>ΠΑΘΗΤΙΚΟ</w:t>
            </w:r>
          </w:p>
        </w:tc>
        <w:tc>
          <w:tcPr>
            <w:tcW w:w="534" w:type="pct"/>
            <w:tcBorders>
              <w:top w:val="single" w:sz="4" w:space="0" w:color="auto"/>
              <w:left w:val="nil"/>
              <w:bottom w:val="nil"/>
              <w:right w:val="nil"/>
            </w:tcBorders>
            <w:shd w:val="clear" w:color="auto" w:fill="auto"/>
            <w:noWrap/>
            <w:vAlign w:val="bottom"/>
            <w:hideMark/>
          </w:tcPr>
          <w:p w:rsidR="003B577F" w:rsidRDefault="003B577F">
            <w:pPr>
              <w:rPr>
                <w:b/>
                <w:bCs/>
                <w:color w:val="000000"/>
                <w:sz w:val="22"/>
                <w:szCs w:val="22"/>
                <w:u w:val="single"/>
              </w:rPr>
            </w:pPr>
            <w:r>
              <w:rPr>
                <w:b/>
                <w:bCs/>
                <w:color w:val="000000"/>
                <w:sz w:val="22"/>
                <w:szCs w:val="22"/>
                <w:u w:val="single"/>
              </w:rPr>
              <w:t>Σημείωση</w:t>
            </w:r>
          </w:p>
        </w:tc>
        <w:tc>
          <w:tcPr>
            <w:tcW w:w="807" w:type="pct"/>
            <w:tcBorders>
              <w:top w:val="single" w:sz="4" w:space="0" w:color="auto"/>
              <w:left w:val="single" w:sz="4" w:space="0" w:color="auto"/>
              <w:bottom w:val="nil"/>
              <w:right w:val="nil"/>
            </w:tcBorders>
            <w:shd w:val="clear" w:color="auto" w:fill="auto"/>
            <w:noWrap/>
            <w:vAlign w:val="bottom"/>
            <w:hideMark/>
          </w:tcPr>
          <w:p w:rsidR="003B577F" w:rsidRDefault="003B577F">
            <w:pPr>
              <w:jc w:val="right"/>
              <w:rPr>
                <w:b/>
                <w:bCs/>
                <w:sz w:val="22"/>
                <w:szCs w:val="22"/>
                <w:u w:val="single"/>
              </w:rPr>
            </w:pPr>
            <w:r>
              <w:rPr>
                <w:b/>
                <w:bCs/>
                <w:sz w:val="22"/>
                <w:szCs w:val="22"/>
                <w:u w:val="single"/>
              </w:rPr>
              <w:t>31/12/21</w:t>
            </w:r>
          </w:p>
        </w:tc>
        <w:tc>
          <w:tcPr>
            <w:tcW w:w="825" w:type="pct"/>
            <w:tcBorders>
              <w:top w:val="single" w:sz="4" w:space="0" w:color="auto"/>
              <w:left w:val="single" w:sz="4" w:space="0" w:color="auto"/>
              <w:bottom w:val="nil"/>
              <w:right w:val="single" w:sz="4" w:space="0" w:color="auto"/>
            </w:tcBorders>
            <w:shd w:val="clear" w:color="auto" w:fill="auto"/>
            <w:noWrap/>
            <w:vAlign w:val="bottom"/>
            <w:hideMark/>
          </w:tcPr>
          <w:p w:rsidR="003B577F" w:rsidRDefault="003B577F">
            <w:pPr>
              <w:jc w:val="right"/>
              <w:rPr>
                <w:b/>
                <w:bCs/>
                <w:color w:val="000000"/>
                <w:sz w:val="22"/>
                <w:szCs w:val="22"/>
                <w:u w:val="single"/>
              </w:rPr>
            </w:pPr>
            <w:r>
              <w:rPr>
                <w:b/>
                <w:bCs/>
                <w:color w:val="000000"/>
                <w:sz w:val="22"/>
                <w:szCs w:val="22"/>
                <w:u w:val="single"/>
              </w:rPr>
              <w:t>31/12/20</w:t>
            </w:r>
          </w:p>
        </w:tc>
      </w:tr>
      <w:tr w:rsidR="003B577F" w:rsidTr="003B577F">
        <w:trPr>
          <w:trHeight w:val="330"/>
        </w:trPr>
        <w:tc>
          <w:tcPr>
            <w:tcW w:w="2833" w:type="pct"/>
            <w:gridSpan w:val="3"/>
            <w:tcBorders>
              <w:top w:val="nil"/>
              <w:left w:val="single" w:sz="4" w:space="0" w:color="auto"/>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Καθαρή θέση</w:t>
            </w:r>
          </w:p>
        </w:tc>
        <w:tc>
          <w:tcPr>
            <w:tcW w:w="534"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10" w:type="pct"/>
            <w:gridSpan w:val="2"/>
            <w:tcBorders>
              <w:top w:val="nil"/>
              <w:left w:val="nil"/>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Καταβλημένα κεφάλαια</w:t>
            </w:r>
          </w:p>
        </w:tc>
        <w:tc>
          <w:tcPr>
            <w:tcW w:w="534"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Κεφάλαιο</w:t>
            </w:r>
          </w:p>
        </w:tc>
        <w:tc>
          <w:tcPr>
            <w:tcW w:w="534"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1.005.500,00</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1.005.500,00</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Υπέρ το άρτιο</w:t>
            </w:r>
          </w:p>
        </w:tc>
        <w:tc>
          <w:tcPr>
            <w:tcW w:w="534"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1.336.500,00</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1.336.500,00</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Σύνολο</w:t>
            </w:r>
          </w:p>
        </w:tc>
        <w:tc>
          <w:tcPr>
            <w:tcW w:w="534"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2.342.000,00</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2.342.000,00</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10" w:type="pct"/>
            <w:gridSpan w:val="2"/>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Αποθεματικά και αποτελέσματα εις νέο</w:t>
            </w:r>
          </w:p>
        </w:tc>
        <w:tc>
          <w:tcPr>
            <w:tcW w:w="534"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Αποτελέσματα εις νέο</w:t>
            </w:r>
          </w:p>
        </w:tc>
        <w:tc>
          <w:tcPr>
            <w:tcW w:w="534"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-2.832.342,71</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-2.830.970,26</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Σύνολο</w:t>
            </w:r>
          </w:p>
        </w:tc>
        <w:tc>
          <w:tcPr>
            <w:tcW w:w="534"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-2.832.342,71</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-2.830.970,26</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Σύνολο καθαρής θέσης</w:t>
            </w:r>
          </w:p>
        </w:tc>
        <w:tc>
          <w:tcPr>
            <w:tcW w:w="534"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-490.342,71</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-488.970,26</w:t>
            </w:r>
          </w:p>
        </w:tc>
      </w:tr>
      <w:tr w:rsidR="003B577F" w:rsidTr="003B577F">
        <w:trPr>
          <w:trHeight w:val="330"/>
        </w:trPr>
        <w:tc>
          <w:tcPr>
            <w:tcW w:w="2833" w:type="pct"/>
            <w:gridSpan w:val="3"/>
            <w:tcBorders>
              <w:top w:val="nil"/>
              <w:left w:val="single" w:sz="4" w:space="0" w:color="auto"/>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Υποχρεώσεις</w:t>
            </w:r>
          </w:p>
        </w:tc>
        <w:tc>
          <w:tcPr>
            <w:tcW w:w="534"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2710" w:type="pct"/>
            <w:gridSpan w:val="2"/>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Βραχυπρόθεσμες υποχρεώσεις</w:t>
            </w:r>
          </w:p>
        </w:tc>
        <w:tc>
          <w:tcPr>
            <w:tcW w:w="534"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rPr>
                <w:color w:val="000000"/>
                <w:sz w:val="22"/>
                <w:szCs w:val="22"/>
              </w:rPr>
            </w:pPr>
            <w:r>
              <w:rPr>
                <w:color w:val="000000"/>
                <w:sz w:val="22"/>
                <w:szCs w:val="22"/>
              </w:rPr>
              <w:t> </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Εμπορικές υποχρεώσεις</w:t>
            </w:r>
          </w:p>
        </w:tc>
        <w:tc>
          <w:tcPr>
            <w:tcW w:w="534"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10.2.1</w:t>
            </w:r>
          </w:p>
        </w:tc>
        <w:tc>
          <w:tcPr>
            <w:tcW w:w="807"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1.609,17</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882,98</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Λοιποί φόροι και τέλη</w:t>
            </w:r>
          </w:p>
        </w:tc>
        <w:tc>
          <w:tcPr>
            <w:tcW w:w="534" w:type="pct"/>
            <w:tcBorders>
              <w:top w:val="nil"/>
              <w:left w:val="nil"/>
              <w:bottom w:val="nil"/>
              <w:right w:val="nil"/>
            </w:tcBorders>
            <w:shd w:val="clear" w:color="auto" w:fill="auto"/>
            <w:noWrap/>
            <w:vAlign w:val="bottom"/>
            <w:hideMark/>
          </w:tcPr>
          <w:p w:rsidR="003B577F" w:rsidRDefault="003B577F">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220,84</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350,00</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color w:val="000000"/>
                <w:sz w:val="22"/>
                <w:szCs w:val="22"/>
              </w:rPr>
            </w:pPr>
            <w:r>
              <w:rPr>
                <w:color w:val="000000"/>
                <w:sz w:val="22"/>
                <w:szCs w:val="22"/>
              </w:rPr>
              <w:t>Λοιπές υποχρεώσεις</w:t>
            </w:r>
          </w:p>
        </w:tc>
        <w:tc>
          <w:tcPr>
            <w:tcW w:w="534" w:type="pct"/>
            <w:tcBorders>
              <w:top w:val="nil"/>
              <w:left w:val="nil"/>
              <w:bottom w:val="nil"/>
              <w:right w:val="nil"/>
            </w:tcBorders>
            <w:shd w:val="clear" w:color="auto" w:fill="auto"/>
            <w:noWrap/>
            <w:vAlign w:val="bottom"/>
            <w:hideMark/>
          </w:tcPr>
          <w:p w:rsidR="003B577F" w:rsidRDefault="003B577F">
            <w:pPr>
              <w:jc w:val="center"/>
              <w:rPr>
                <w:color w:val="000000"/>
                <w:sz w:val="22"/>
                <w:szCs w:val="22"/>
              </w:rPr>
            </w:pPr>
            <w:r>
              <w:rPr>
                <w:color w:val="000000"/>
                <w:sz w:val="22"/>
                <w:szCs w:val="22"/>
              </w:rPr>
              <w:t>10.2.2</w:t>
            </w:r>
          </w:p>
        </w:tc>
        <w:tc>
          <w:tcPr>
            <w:tcW w:w="807" w:type="pct"/>
            <w:tcBorders>
              <w:top w:val="nil"/>
              <w:left w:val="single" w:sz="4" w:space="0" w:color="auto"/>
              <w:bottom w:val="nil"/>
              <w:right w:val="nil"/>
            </w:tcBorders>
            <w:shd w:val="clear" w:color="auto" w:fill="auto"/>
            <w:noWrap/>
            <w:vAlign w:val="bottom"/>
            <w:hideMark/>
          </w:tcPr>
          <w:p w:rsidR="003B577F" w:rsidRDefault="003B577F">
            <w:pPr>
              <w:jc w:val="right"/>
              <w:rPr>
                <w:sz w:val="22"/>
                <w:szCs w:val="22"/>
              </w:rPr>
            </w:pPr>
            <w:r>
              <w:rPr>
                <w:sz w:val="22"/>
                <w:szCs w:val="22"/>
              </w:rPr>
              <w:t>602.675,00</w:t>
            </w:r>
          </w:p>
        </w:tc>
        <w:tc>
          <w:tcPr>
            <w:tcW w:w="825" w:type="pct"/>
            <w:tcBorders>
              <w:top w:val="nil"/>
              <w:left w:val="single" w:sz="4" w:space="0" w:color="auto"/>
              <w:bottom w:val="nil"/>
              <w:right w:val="single" w:sz="4"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602.675,00</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r>
              <w:rPr>
                <w:b/>
                <w:bCs/>
                <w:i/>
                <w:iCs/>
                <w:color w:val="000000"/>
                <w:sz w:val="22"/>
                <w:szCs w:val="22"/>
              </w:rPr>
              <w:t>Σύνολο</w:t>
            </w:r>
          </w:p>
        </w:tc>
        <w:tc>
          <w:tcPr>
            <w:tcW w:w="534" w:type="pct"/>
            <w:tcBorders>
              <w:top w:val="nil"/>
              <w:left w:val="nil"/>
              <w:bottom w:val="nil"/>
              <w:right w:val="nil"/>
            </w:tcBorders>
            <w:shd w:val="clear" w:color="auto" w:fill="auto"/>
            <w:noWrap/>
            <w:vAlign w:val="bottom"/>
            <w:hideMark/>
          </w:tcPr>
          <w:p w:rsidR="003B577F" w:rsidRDefault="003B577F">
            <w:pPr>
              <w:rPr>
                <w:b/>
                <w:bCs/>
                <w:i/>
                <w:i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i/>
                <w:iCs/>
                <w:sz w:val="22"/>
                <w:szCs w:val="22"/>
              </w:rPr>
            </w:pPr>
            <w:r>
              <w:rPr>
                <w:b/>
                <w:bCs/>
                <w:i/>
                <w:iCs/>
                <w:sz w:val="22"/>
                <w:szCs w:val="22"/>
              </w:rPr>
              <w:t>604.505,01</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i/>
                <w:iCs/>
                <w:color w:val="000000"/>
                <w:sz w:val="22"/>
                <w:szCs w:val="22"/>
              </w:rPr>
            </w:pPr>
            <w:r>
              <w:rPr>
                <w:b/>
                <w:bCs/>
                <w:i/>
                <w:iCs/>
                <w:color w:val="000000"/>
                <w:sz w:val="22"/>
                <w:szCs w:val="22"/>
              </w:rPr>
              <w:t>603.907,98</w:t>
            </w:r>
          </w:p>
        </w:tc>
      </w:tr>
      <w:tr w:rsidR="003B577F" w:rsidTr="003B577F">
        <w:trPr>
          <w:trHeight w:val="330"/>
        </w:trPr>
        <w:tc>
          <w:tcPr>
            <w:tcW w:w="123" w:type="pct"/>
            <w:tcBorders>
              <w:top w:val="nil"/>
              <w:left w:val="single" w:sz="4" w:space="0" w:color="auto"/>
              <w:bottom w:val="nil"/>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rsidR="003B577F" w:rsidRDefault="003B577F">
            <w:pPr>
              <w:rPr>
                <w:sz w:val="22"/>
                <w:szCs w:val="22"/>
              </w:rPr>
            </w:pPr>
          </w:p>
        </w:tc>
        <w:tc>
          <w:tcPr>
            <w:tcW w:w="2587" w:type="pct"/>
            <w:tcBorders>
              <w:top w:val="nil"/>
              <w:left w:val="nil"/>
              <w:bottom w:val="nil"/>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Σύνολο υποχρεώσεων</w:t>
            </w:r>
          </w:p>
        </w:tc>
        <w:tc>
          <w:tcPr>
            <w:tcW w:w="534" w:type="pct"/>
            <w:tcBorders>
              <w:top w:val="nil"/>
              <w:left w:val="nil"/>
              <w:bottom w:val="nil"/>
              <w:right w:val="nil"/>
            </w:tcBorders>
            <w:shd w:val="clear" w:color="auto" w:fill="auto"/>
            <w:vAlign w:val="bottom"/>
            <w:hideMark/>
          </w:tcPr>
          <w:p w:rsidR="003B577F" w:rsidRDefault="003B577F">
            <w:pPr>
              <w:rPr>
                <w:b/>
                <w:b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rsidR="003B577F" w:rsidRDefault="003B577F">
            <w:pPr>
              <w:jc w:val="right"/>
              <w:rPr>
                <w:b/>
                <w:bCs/>
                <w:sz w:val="22"/>
                <w:szCs w:val="22"/>
              </w:rPr>
            </w:pPr>
            <w:r>
              <w:rPr>
                <w:b/>
                <w:bCs/>
                <w:sz w:val="22"/>
                <w:szCs w:val="22"/>
              </w:rPr>
              <w:t>604.505,01</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603.907,98</w:t>
            </w:r>
          </w:p>
        </w:tc>
      </w:tr>
      <w:tr w:rsidR="003B577F" w:rsidTr="003B577F">
        <w:trPr>
          <w:trHeight w:val="330"/>
        </w:trPr>
        <w:tc>
          <w:tcPr>
            <w:tcW w:w="123" w:type="pct"/>
            <w:tcBorders>
              <w:top w:val="nil"/>
              <w:left w:val="single" w:sz="4" w:space="0" w:color="auto"/>
              <w:bottom w:val="single" w:sz="4" w:space="0" w:color="auto"/>
              <w:right w:val="nil"/>
            </w:tcBorders>
            <w:shd w:val="clear" w:color="auto" w:fill="auto"/>
            <w:noWrap/>
            <w:vAlign w:val="bottom"/>
            <w:hideMark/>
          </w:tcPr>
          <w:p w:rsidR="003B577F" w:rsidRDefault="003B577F">
            <w:pPr>
              <w:rPr>
                <w:sz w:val="22"/>
                <w:szCs w:val="22"/>
              </w:rPr>
            </w:pPr>
            <w:r>
              <w:rPr>
                <w:sz w:val="22"/>
                <w:szCs w:val="22"/>
              </w:rPr>
              <w:t> </w:t>
            </w:r>
          </w:p>
        </w:tc>
        <w:tc>
          <w:tcPr>
            <w:tcW w:w="123" w:type="pct"/>
            <w:tcBorders>
              <w:top w:val="nil"/>
              <w:left w:val="nil"/>
              <w:bottom w:val="single" w:sz="4" w:space="0" w:color="auto"/>
              <w:right w:val="nil"/>
            </w:tcBorders>
            <w:shd w:val="clear" w:color="auto" w:fill="auto"/>
            <w:noWrap/>
            <w:vAlign w:val="bottom"/>
            <w:hideMark/>
          </w:tcPr>
          <w:p w:rsidR="003B577F" w:rsidRDefault="003B577F">
            <w:pPr>
              <w:rPr>
                <w:sz w:val="22"/>
                <w:szCs w:val="22"/>
              </w:rPr>
            </w:pPr>
            <w:r>
              <w:rPr>
                <w:sz w:val="22"/>
                <w:szCs w:val="22"/>
              </w:rPr>
              <w:t> </w:t>
            </w:r>
          </w:p>
        </w:tc>
        <w:tc>
          <w:tcPr>
            <w:tcW w:w="3121" w:type="pct"/>
            <w:gridSpan w:val="2"/>
            <w:tcBorders>
              <w:top w:val="nil"/>
              <w:left w:val="nil"/>
              <w:bottom w:val="single" w:sz="4" w:space="0" w:color="auto"/>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Σύνολο καθαρής θέσης, προβλέψεων και υποχρεώσεων</w:t>
            </w:r>
          </w:p>
        </w:tc>
        <w:tc>
          <w:tcPr>
            <w:tcW w:w="807" w:type="pct"/>
            <w:tcBorders>
              <w:top w:val="single" w:sz="4" w:space="0" w:color="auto"/>
              <w:left w:val="single" w:sz="4" w:space="0" w:color="auto"/>
              <w:bottom w:val="single" w:sz="4" w:space="0" w:color="auto"/>
              <w:right w:val="nil"/>
            </w:tcBorders>
            <w:shd w:val="clear" w:color="auto" w:fill="auto"/>
            <w:noWrap/>
            <w:vAlign w:val="bottom"/>
            <w:hideMark/>
          </w:tcPr>
          <w:p w:rsidR="003B577F" w:rsidRDefault="003B577F">
            <w:pPr>
              <w:jc w:val="right"/>
              <w:rPr>
                <w:b/>
                <w:bCs/>
                <w:sz w:val="22"/>
                <w:szCs w:val="22"/>
              </w:rPr>
            </w:pPr>
            <w:r>
              <w:rPr>
                <w:b/>
                <w:bCs/>
                <w:sz w:val="22"/>
                <w:szCs w:val="22"/>
              </w:rPr>
              <w:t>114.162,30</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114.937,72</w:t>
            </w:r>
          </w:p>
        </w:tc>
      </w:tr>
    </w:tbl>
    <w:p w:rsidR="00F14C81" w:rsidRPr="00A131AE" w:rsidRDefault="00F14C81">
      <w:pPr>
        <w:tabs>
          <w:tab w:val="left" w:pos="5253"/>
          <w:tab w:val="left" w:pos="6062"/>
          <w:tab w:val="left" w:pos="7542"/>
        </w:tabs>
        <w:ind w:left="93"/>
        <w:rPr>
          <w:b/>
          <w:bCs/>
          <w:color w:val="000000"/>
          <w:sz w:val="18"/>
          <w:szCs w:val="18"/>
          <w:highlight w:val="yellow"/>
        </w:rPr>
      </w:pPr>
    </w:p>
    <w:p w:rsidR="00F14C81" w:rsidRPr="00A131AE" w:rsidRDefault="00F14C81" w:rsidP="00F14C81">
      <w:pPr>
        <w:rPr>
          <w:highlight w:val="yellow"/>
        </w:rPr>
      </w:pPr>
    </w:p>
    <w:p w:rsidR="00614F01" w:rsidRPr="001D11B6" w:rsidRDefault="00F14C81" w:rsidP="004A2266">
      <w:pPr>
        <w:pStyle w:val="1"/>
        <w:jc w:val="left"/>
        <w:rPr>
          <w:lang w:val="en-US"/>
        </w:rPr>
      </w:pPr>
      <w:r w:rsidRPr="00A131AE">
        <w:rPr>
          <w:highlight w:val="yellow"/>
        </w:rPr>
        <w:br w:type="page"/>
      </w:r>
      <w:bookmarkStart w:id="6" w:name="_Toc488058529"/>
      <w:bookmarkStart w:id="7" w:name="_Toc15545990"/>
      <w:r w:rsidR="00614F01" w:rsidRPr="001D11B6">
        <w:lastRenderedPageBreak/>
        <w:t>ΚΑΤΑΣΤΑΣΗ ΑΠΟΤΕΛΕΣΜΑΤΩΝ κατά ΛΕΙΤΟΥΡΓΙΑ</w:t>
      </w:r>
      <w:bookmarkEnd w:id="6"/>
      <w:bookmarkEnd w:id="7"/>
    </w:p>
    <w:p w:rsidR="00FF3764" w:rsidRPr="00A131AE" w:rsidRDefault="00FF3764" w:rsidP="00442E06">
      <w:pPr>
        <w:shd w:val="clear" w:color="auto" w:fill="FFFFFF"/>
        <w:spacing w:after="200" w:line="276" w:lineRule="auto"/>
        <w:ind w:left="5" w:right="14" w:hanging="5"/>
        <w:rPr>
          <w:b/>
          <w:sz w:val="22"/>
          <w:szCs w:val="22"/>
          <w:highlight w:val="yellow"/>
          <w:lang w:val="en-US"/>
        </w:rPr>
      </w:pPr>
    </w:p>
    <w:tbl>
      <w:tblPr>
        <w:tblW w:w="5000" w:type="pct"/>
        <w:tblLook w:val="04A0" w:firstRow="1" w:lastRow="0" w:firstColumn="1" w:lastColumn="0" w:noHBand="0" w:noVBand="1"/>
      </w:tblPr>
      <w:tblGrid>
        <w:gridCol w:w="4930"/>
        <w:gridCol w:w="713"/>
        <w:gridCol w:w="1893"/>
        <w:gridCol w:w="1798"/>
      </w:tblGrid>
      <w:tr w:rsidR="003B577F" w:rsidTr="003B577F">
        <w:trPr>
          <w:trHeight w:val="300"/>
        </w:trPr>
        <w:tc>
          <w:tcPr>
            <w:tcW w:w="2641" w:type="pct"/>
            <w:tcBorders>
              <w:top w:val="single" w:sz="8" w:space="0" w:color="auto"/>
              <w:left w:val="single" w:sz="8" w:space="0" w:color="auto"/>
              <w:bottom w:val="single" w:sz="8" w:space="0" w:color="auto"/>
              <w:right w:val="nil"/>
            </w:tcBorders>
            <w:shd w:val="clear" w:color="auto" w:fill="auto"/>
            <w:vAlign w:val="bottom"/>
            <w:hideMark/>
          </w:tcPr>
          <w:p w:rsidR="003B577F" w:rsidRDefault="003B577F">
            <w:pPr>
              <w:rPr>
                <w:b/>
                <w:bCs/>
                <w:i/>
                <w:iCs/>
                <w:color w:val="000000"/>
                <w:sz w:val="22"/>
                <w:szCs w:val="22"/>
              </w:rPr>
            </w:pPr>
            <w:r>
              <w:rPr>
                <w:b/>
                <w:bCs/>
                <w:i/>
                <w:iCs/>
                <w:color w:val="000000"/>
                <w:sz w:val="22"/>
                <w:szCs w:val="22"/>
              </w:rPr>
              <w:t> </w:t>
            </w:r>
          </w:p>
        </w:tc>
        <w:tc>
          <w:tcPr>
            <w:tcW w:w="382" w:type="pct"/>
            <w:tcBorders>
              <w:top w:val="single" w:sz="8" w:space="0" w:color="auto"/>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Σημ.</w:t>
            </w:r>
          </w:p>
        </w:tc>
        <w:tc>
          <w:tcPr>
            <w:tcW w:w="1014" w:type="pct"/>
            <w:tcBorders>
              <w:top w:val="single" w:sz="8" w:space="0" w:color="auto"/>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31/12/21</w:t>
            </w:r>
          </w:p>
        </w:tc>
        <w:tc>
          <w:tcPr>
            <w:tcW w:w="964" w:type="pct"/>
            <w:tcBorders>
              <w:top w:val="single" w:sz="8" w:space="0" w:color="auto"/>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31/12/20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b/>
                <w:bCs/>
                <w:i/>
                <w:iCs/>
                <w:color w:val="000000"/>
                <w:sz w:val="22"/>
                <w:szCs w:val="22"/>
              </w:rPr>
            </w:pPr>
            <w:r>
              <w:rPr>
                <w:b/>
                <w:bCs/>
                <w:i/>
                <w:iCs/>
                <w:color w:val="000000"/>
                <w:sz w:val="22"/>
                <w:szCs w:val="22"/>
              </w:rPr>
              <w:t> </w:t>
            </w:r>
          </w:p>
        </w:tc>
        <w:tc>
          <w:tcPr>
            <w:tcW w:w="382"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964"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Κύκλος εργασιών (καθαρός)</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color w:val="000000"/>
                <w:sz w:val="22"/>
                <w:szCs w:val="22"/>
              </w:rPr>
            </w:pPr>
            <w:r>
              <w:rPr>
                <w:color w:val="000000"/>
                <w:sz w:val="22"/>
                <w:szCs w:val="22"/>
              </w:rPr>
              <w:t>18</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11.200,00</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11.200,00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Κόστος πωλήσεων</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b/>
                <w:bCs/>
                <w:color w:val="000000"/>
                <w:sz w:val="22"/>
                <w:szCs w:val="22"/>
              </w:rPr>
            </w:pPr>
            <w:r>
              <w:rPr>
                <w:b/>
                <w:bCs/>
                <w:color w:val="000000"/>
                <w:sz w:val="22"/>
                <w:szCs w:val="22"/>
              </w:rPr>
              <w:t>Μικτό Αποτέλεσμα</w:t>
            </w:r>
          </w:p>
        </w:tc>
        <w:tc>
          <w:tcPr>
            <w:tcW w:w="382"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11.200,00</w:t>
            </w:r>
          </w:p>
        </w:tc>
        <w:tc>
          <w:tcPr>
            <w:tcW w:w="96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11.200,00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Λοιπά συνήθη έσοδα</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single" w:sz="4" w:space="0" w:color="auto"/>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 </w:t>
            </w:r>
          </w:p>
        </w:tc>
        <w:tc>
          <w:tcPr>
            <w:tcW w:w="382"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11.200,00</w:t>
            </w:r>
          </w:p>
        </w:tc>
        <w:tc>
          <w:tcPr>
            <w:tcW w:w="96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11.200,00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Έξοδα διοίκησης</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-12.014,80</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-11.119,74</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Λοιπά έξοδα και ζημιές</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color w:val="000000"/>
                <w:sz w:val="22"/>
                <w:szCs w:val="22"/>
              </w:rPr>
            </w:pPr>
            <w:r>
              <w:rPr>
                <w:color w:val="000000"/>
                <w:sz w:val="22"/>
                <w:szCs w:val="22"/>
              </w:rPr>
              <w:t>11</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-1.312,73</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-607,56</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Λοιπά έσοδα και κέρδη</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color w:val="000000"/>
                <w:sz w:val="22"/>
                <w:szCs w:val="22"/>
              </w:rPr>
            </w:pPr>
            <w:r>
              <w:rPr>
                <w:color w:val="000000"/>
                <w:sz w:val="22"/>
                <w:szCs w:val="22"/>
              </w:rPr>
              <w:t>11</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sz w:val="22"/>
                <w:szCs w:val="22"/>
              </w:rPr>
            </w:pPr>
            <w:r>
              <w:rPr>
                <w:sz w:val="22"/>
                <w:szCs w:val="22"/>
              </w:rPr>
              <w:t>804,80</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b/>
                <w:bCs/>
                <w:color w:val="000000"/>
                <w:sz w:val="22"/>
                <w:szCs w:val="22"/>
              </w:rPr>
            </w:pPr>
            <w:r>
              <w:rPr>
                <w:b/>
                <w:bCs/>
                <w:color w:val="000000"/>
                <w:sz w:val="22"/>
                <w:szCs w:val="22"/>
              </w:rPr>
              <w:t>Αποτέλεσμα προ τόκων και φόρων</w:t>
            </w:r>
          </w:p>
        </w:tc>
        <w:tc>
          <w:tcPr>
            <w:tcW w:w="382"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-1.322,73</w:t>
            </w:r>
          </w:p>
        </w:tc>
        <w:tc>
          <w:tcPr>
            <w:tcW w:w="96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-527,30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Πιστωτικοί τόκοι και συναφή έσοδα</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0,28</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0,39</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Χρεωστικοί τόκοι και συναφή έξοδα</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-50,00</w:t>
            </w:r>
          </w:p>
        </w:tc>
        <w:tc>
          <w:tcPr>
            <w:tcW w:w="964" w:type="pct"/>
            <w:tcBorders>
              <w:top w:val="nil"/>
              <w:left w:val="nil"/>
              <w:bottom w:val="nil"/>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-63,00</w:t>
            </w:r>
          </w:p>
        </w:tc>
      </w:tr>
      <w:tr w:rsidR="003B577F" w:rsidTr="003B577F">
        <w:trPr>
          <w:trHeight w:val="288"/>
        </w:trPr>
        <w:tc>
          <w:tcPr>
            <w:tcW w:w="2641" w:type="pct"/>
            <w:tcBorders>
              <w:top w:val="nil"/>
              <w:left w:val="single" w:sz="8" w:space="0" w:color="auto"/>
              <w:bottom w:val="nil"/>
              <w:right w:val="nil"/>
            </w:tcBorders>
            <w:shd w:val="clear" w:color="auto" w:fill="auto"/>
            <w:vAlign w:val="bottom"/>
            <w:hideMark/>
          </w:tcPr>
          <w:p w:rsidR="003B577F" w:rsidRDefault="003B577F">
            <w:pPr>
              <w:rPr>
                <w:b/>
                <w:bCs/>
                <w:color w:val="000000"/>
                <w:sz w:val="22"/>
                <w:szCs w:val="22"/>
              </w:rPr>
            </w:pPr>
            <w:r>
              <w:rPr>
                <w:b/>
                <w:bCs/>
                <w:color w:val="000000"/>
                <w:sz w:val="22"/>
                <w:szCs w:val="22"/>
              </w:rPr>
              <w:t>Αποτέλεσμα προ φόρων</w:t>
            </w:r>
          </w:p>
        </w:tc>
        <w:tc>
          <w:tcPr>
            <w:tcW w:w="382" w:type="pct"/>
            <w:tcBorders>
              <w:top w:val="nil"/>
              <w:left w:val="nil"/>
              <w:bottom w:val="nil"/>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-1.372,45</w:t>
            </w:r>
          </w:p>
        </w:tc>
        <w:tc>
          <w:tcPr>
            <w:tcW w:w="964" w:type="pct"/>
            <w:tcBorders>
              <w:top w:val="single" w:sz="4" w:space="0" w:color="auto"/>
              <w:left w:val="nil"/>
              <w:bottom w:val="nil"/>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-589,91</w:t>
            </w:r>
          </w:p>
        </w:tc>
      </w:tr>
      <w:tr w:rsidR="003B577F" w:rsidTr="003B577F">
        <w:trPr>
          <w:trHeight w:val="300"/>
        </w:trPr>
        <w:tc>
          <w:tcPr>
            <w:tcW w:w="2641"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Φόροι εισοδήματος</w:t>
            </w:r>
          </w:p>
        </w:tc>
        <w:tc>
          <w:tcPr>
            <w:tcW w:w="382" w:type="pct"/>
            <w:tcBorders>
              <w:top w:val="nil"/>
              <w:left w:val="nil"/>
              <w:bottom w:val="nil"/>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nil"/>
              <w:left w:val="nil"/>
              <w:bottom w:val="double" w:sz="6" w:space="0" w:color="auto"/>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c>
          <w:tcPr>
            <w:tcW w:w="964" w:type="pct"/>
            <w:tcBorders>
              <w:top w:val="nil"/>
              <w:left w:val="nil"/>
              <w:bottom w:val="double" w:sz="6" w:space="0" w:color="auto"/>
              <w:right w:val="single" w:sz="8" w:space="0" w:color="auto"/>
            </w:tcBorders>
            <w:shd w:val="clear" w:color="auto" w:fill="auto"/>
            <w:noWrap/>
            <w:vAlign w:val="bottom"/>
            <w:hideMark/>
          </w:tcPr>
          <w:p w:rsidR="003B577F" w:rsidRDefault="003B577F">
            <w:pPr>
              <w:jc w:val="right"/>
              <w:rPr>
                <w:color w:val="000000"/>
                <w:sz w:val="22"/>
                <w:szCs w:val="22"/>
              </w:rPr>
            </w:pPr>
            <w:r>
              <w:rPr>
                <w:color w:val="000000"/>
                <w:sz w:val="22"/>
                <w:szCs w:val="22"/>
              </w:rPr>
              <w:t>0,00</w:t>
            </w:r>
          </w:p>
        </w:tc>
      </w:tr>
      <w:tr w:rsidR="003B577F" w:rsidTr="003B577F">
        <w:trPr>
          <w:trHeight w:val="312"/>
        </w:trPr>
        <w:tc>
          <w:tcPr>
            <w:tcW w:w="2641" w:type="pct"/>
            <w:tcBorders>
              <w:top w:val="nil"/>
              <w:left w:val="single" w:sz="8" w:space="0" w:color="auto"/>
              <w:bottom w:val="single" w:sz="8" w:space="0" w:color="auto"/>
              <w:right w:val="nil"/>
            </w:tcBorders>
            <w:shd w:val="clear" w:color="auto" w:fill="auto"/>
            <w:vAlign w:val="bottom"/>
            <w:hideMark/>
          </w:tcPr>
          <w:p w:rsidR="003B577F" w:rsidRDefault="003B577F">
            <w:pPr>
              <w:rPr>
                <w:b/>
                <w:bCs/>
                <w:color w:val="000000"/>
                <w:sz w:val="22"/>
                <w:szCs w:val="22"/>
              </w:rPr>
            </w:pPr>
            <w:r>
              <w:rPr>
                <w:b/>
                <w:bCs/>
                <w:color w:val="000000"/>
                <w:sz w:val="22"/>
                <w:szCs w:val="22"/>
              </w:rPr>
              <w:t>Αποτέλεσμα περιόδου μετά από φόρους</w:t>
            </w:r>
          </w:p>
        </w:tc>
        <w:tc>
          <w:tcPr>
            <w:tcW w:w="382" w:type="pct"/>
            <w:tcBorders>
              <w:top w:val="nil"/>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 </w:t>
            </w:r>
          </w:p>
        </w:tc>
        <w:tc>
          <w:tcPr>
            <w:tcW w:w="1014" w:type="pct"/>
            <w:tcBorders>
              <w:top w:val="single" w:sz="4" w:space="0" w:color="auto"/>
              <w:left w:val="nil"/>
              <w:bottom w:val="double" w:sz="6"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-1.372,45</w:t>
            </w:r>
          </w:p>
        </w:tc>
        <w:tc>
          <w:tcPr>
            <w:tcW w:w="964" w:type="pct"/>
            <w:tcBorders>
              <w:top w:val="single" w:sz="4" w:space="0" w:color="auto"/>
              <w:left w:val="nil"/>
              <w:bottom w:val="double" w:sz="6"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-589,91</w:t>
            </w:r>
          </w:p>
        </w:tc>
      </w:tr>
    </w:tbl>
    <w:p w:rsidR="00370435" w:rsidRPr="00A131AE" w:rsidRDefault="00370435" w:rsidP="00442E06">
      <w:pPr>
        <w:shd w:val="clear" w:color="auto" w:fill="FFFFFF"/>
        <w:spacing w:after="200" w:line="276" w:lineRule="auto"/>
        <w:ind w:left="5" w:right="14" w:hanging="5"/>
        <w:rPr>
          <w:b/>
          <w:sz w:val="22"/>
          <w:szCs w:val="22"/>
          <w:highlight w:val="yellow"/>
        </w:rPr>
      </w:pPr>
    </w:p>
    <w:p w:rsidR="00F77FA8" w:rsidRPr="00A131AE" w:rsidRDefault="00F77FA8" w:rsidP="00B82D0D">
      <w:pPr>
        <w:shd w:val="clear" w:color="auto" w:fill="FFFFFF"/>
        <w:spacing w:after="200" w:line="276" w:lineRule="auto"/>
        <w:ind w:left="5" w:right="14" w:hanging="5"/>
        <w:jc w:val="center"/>
        <w:rPr>
          <w:b/>
          <w:sz w:val="22"/>
          <w:szCs w:val="22"/>
          <w:highlight w:val="yellow"/>
        </w:rPr>
      </w:pPr>
    </w:p>
    <w:p w:rsidR="00F77FA8" w:rsidRPr="00A131AE" w:rsidRDefault="00F77FA8" w:rsidP="00B82D0D">
      <w:pPr>
        <w:shd w:val="clear" w:color="auto" w:fill="FFFFFF"/>
        <w:spacing w:after="200" w:line="276" w:lineRule="auto"/>
        <w:ind w:left="5" w:right="14" w:hanging="5"/>
        <w:jc w:val="center"/>
        <w:rPr>
          <w:b/>
          <w:sz w:val="22"/>
          <w:szCs w:val="22"/>
          <w:highlight w:val="yellow"/>
        </w:rPr>
      </w:pPr>
    </w:p>
    <w:p w:rsidR="00F77FA8" w:rsidRPr="00A131AE" w:rsidRDefault="00F77FA8" w:rsidP="00FF3764">
      <w:pPr>
        <w:shd w:val="clear" w:color="auto" w:fill="FFFFFF"/>
        <w:spacing w:after="200" w:line="276" w:lineRule="auto"/>
        <w:ind w:right="14"/>
        <w:rPr>
          <w:b/>
          <w:sz w:val="22"/>
          <w:szCs w:val="22"/>
          <w:highlight w:val="yellow"/>
          <w:lang w:val="en-US"/>
        </w:rPr>
      </w:pPr>
    </w:p>
    <w:p w:rsidR="00F77FA8" w:rsidRPr="00A131AE" w:rsidRDefault="00F77FA8" w:rsidP="00FF3764">
      <w:pPr>
        <w:shd w:val="clear" w:color="auto" w:fill="FFFFFF"/>
        <w:spacing w:after="200" w:line="276" w:lineRule="auto"/>
        <w:ind w:right="14"/>
        <w:rPr>
          <w:b/>
          <w:sz w:val="22"/>
          <w:szCs w:val="22"/>
          <w:highlight w:val="yellow"/>
          <w:lang w:val="en-US"/>
        </w:rPr>
      </w:pPr>
    </w:p>
    <w:p w:rsidR="00F77FA8" w:rsidRPr="00A131AE" w:rsidRDefault="00F77FA8" w:rsidP="00B82D0D">
      <w:pPr>
        <w:shd w:val="clear" w:color="auto" w:fill="FFFFFF"/>
        <w:spacing w:after="200" w:line="276" w:lineRule="auto"/>
        <w:ind w:left="5" w:right="14" w:hanging="5"/>
        <w:jc w:val="center"/>
        <w:rPr>
          <w:b/>
          <w:sz w:val="22"/>
          <w:szCs w:val="22"/>
          <w:highlight w:val="yellow"/>
        </w:rPr>
        <w:sectPr w:rsidR="00F77FA8" w:rsidRPr="00A131AE" w:rsidSect="008737B6">
          <w:headerReference w:type="default" r:id="rId13"/>
          <w:footerReference w:type="default" r:id="rId14"/>
          <w:headerReference w:type="first" r:id="rId15"/>
          <w:footerReference w:type="first" r:id="rId16"/>
          <w:pgSz w:w="11906" w:h="16838" w:code="9"/>
          <w:pgMar w:top="1418" w:right="1418" w:bottom="1418" w:left="1134" w:header="709" w:footer="567" w:gutter="0"/>
          <w:cols w:space="708"/>
          <w:titlePg/>
          <w:docGrid w:linePitch="360"/>
        </w:sectPr>
      </w:pPr>
    </w:p>
    <w:p w:rsidR="00F77FA8" w:rsidRPr="00253B1B" w:rsidRDefault="00614F01" w:rsidP="004A2266">
      <w:pPr>
        <w:pStyle w:val="1"/>
        <w:jc w:val="left"/>
      </w:pPr>
      <w:bookmarkStart w:id="8" w:name="_Toc446004043"/>
      <w:bookmarkStart w:id="9" w:name="_Toc488058530"/>
      <w:bookmarkStart w:id="10" w:name="_Toc15545991"/>
      <w:r w:rsidRPr="00253B1B">
        <w:lastRenderedPageBreak/>
        <w:t>ΚΑΤΑΣΤΑΣΗ ΜΕΤΑΒΟΛΩΝ ΚΑΘΑΡΗΣ ΘΕΣ</w:t>
      </w:r>
      <w:r w:rsidR="00605AEE" w:rsidRPr="00253B1B">
        <w:t>ΕΩ</w:t>
      </w:r>
      <w:r w:rsidRPr="00253B1B">
        <w:t>Σ</w:t>
      </w:r>
      <w:r w:rsidR="00F77FA8" w:rsidRPr="00253B1B">
        <w:rPr>
          <w:color w:val="FFFFFF"/>
        </w:rPr>
        <w:t xml:space="preserve"> ς</w:t>
      </w:r>
      <w:bookmarkEnd w:id="8"/>
      <w:bookmarkEnd w:id="9"/>
      <w:bookmarkEnd w:id="10"/>
    </w:p>
    <w:p w:rsidR="00F77FA8" w:rsidRPr="00A131AE" w:rsidRDefault="00F77FA8" w:rsidP="00442E06">
      <w:pPr>
        <w:shd w:val="clear" w:color="auto" w:fill="FFFFFF"/>
        <w:spacing w:after="200" w:line="276" w:lineRule="auto"/>
        <w:ind w:left="5" w:right="14" w:hanging="5"/>
        <w:rPr>
          <w:b/>
          <w:sz w:val="22"/>
          <w:szCs w:val="22"/>
          <w:highlight w:val="yellow"/>
        </w:rPr>
      </w:pPr>
    </w:p>
    <w:p w:rsidR="00442E06" w:rsidRPr="00A131AE" w:rsidRDefault="00442E06" w:rsidP="00442E06">
      <w:pPr>
        <w:shd w:val="clear" w:color="auto" w:fill="FFFFFF"/>
        <w:spacing w:after="200" w:line="276" w:lineRule="auto"/>
        <w:ind w:right="14"/>
        <w:rPr>
          <w:b/>
          <w:sz w:val="22"/>
          <w:szCs w:val="22"/>
          <w:highlight w:val="yellow"/>
        </w:rPr>
      </w:pPr>
    </w:p>
    <w:tbl>
      <w:tblPr>
        <w:tblW w:w="5000" w:type="pct"/>
        <w:tblLook w:val="04A0" w:firstRow="1" w:lastRow="0" w:firstColumn="1" w:lastColumn="0" w:noHBand="0" w:noVBand="1"/>
      </w:tblPr>
      <w:tblGrid>
        <w:gridCol w:w="5799"/>
        <w:gridCol w:w="755"/>
        <w:gridCol w:w="1745"/>
        <w:gridCol w:w="1653"/>
        <w:gridCol w:w="2176"/>
        <w:gridCol w:w="1854"/>
      </w:tblGrid>
      <w:tr w:rsidR="003B577F" w:rsidTr="00BC1B3F">
        <w:trPr>
          <w:trHeight w:val="852"/>
        </w:trPr>
        <w:tc>
          <w:tcPr>
            <w:tcW w:w="2074" w:type="pct"/>
            <w:tcBorders>
              <w:top w:val="single" w:sz="8" w:space="0" w:color="auto"/>
              <w:left w:val="single" w:sz="8" w:space="0" w:color="auto"/>
              <w:bottom w:val="single" w:sz="8" w:space="0" w:color="auto"/>
              <w:right w:val="nil"/>
            </w:tcBorders>
            <w:shd w:val="clear" w:color="auto" w:fill="auto"/>
            <w:noWrap/>
            <w:vAlign w:val="bottom"/>
            <w:hideMark/>
          </w:tcPr>
          <w:p w:rsidR="003B577F" w:rsidRDefault="003B577F">
            <w:pPr>
              <w:rPr>
                <w:b/>
                <w:bCs/>
                <w:i/>
                <w:iCs/>
                <w:color w:val="000000"/>
                <w:sz w:val="22"/>
                <w:szCs w:val="22"/>
                <w:u w:val="single"/>
              </w:rPr>
            </w:pPr>
          </w:p>
        </w:tc>
        <w:tc>
          <w:tcPr>
            <w:tcW w:w="270" w:type="pct"/>
            <w:tcBorders>
              <w:top w:val="single" w:sz="8" w:space="0" w:color="auto"/>
              <w:left w:val="nil"/>
              <w:bottom w:val="single" w:sz="8" w:space="0" w:color="auto"/>
              <w:right w:val="single" w:sz="8" w:space="0" w:color="auto"/>
            </w:tcBorders>
            <w:shd w:val="clear" w:color="auto" w:fill="auto"/>
            <w:noWrap/>
            <w:vAlign w:val="bottom"/>
            <w:hideMark/>
          </w:tcPr>
          <w:p w:rsidR="003B577F" w:rsidRDefault="003B577F">
            <w:pPr>
              <w:jc w:val="center"/>
              <w:rPr>
                <w:b/>
                <w:bCs/>
                <w:color w:val="000000"/>
                <w:sz w:val="22"/>
                <w:szCs w:val="22"/>
              </w:rPr>
            </w:pPr>
            <w:r>
              <w:rPr>
                <w:b/>
                <w:bCs/>
                <w:color w:val="000000"/>
                <w:sz w:val="22"/>
                <w:szCs w:val="22"/>
              </w:rPr>
              <w:t>Σημ.</w:t>
            </w:r>
          </w:p>
        </w:tc>
        <w:tc>
          <w:tcPr>
            <w:tcW w:w="624" w:type="pct"/>
            <w:tcBorders>
              <w:top w:val="single" w:sz="8" w:space="0" w:color="auto"/>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Κεφάλαιο</w:t>
            </w:r>
          </w:p>
        </w:tc>
        <w:tc>
          <w:tcPr>
            <w:tcW w:w="591" w:type="pct"/>
            <w:tcBorders>
              <w:top w:val="single" w:sz="8" w:space="0" w:color="auto"/>
              <w:left w:val="nil"/>
              <w:bottom w:val="single" w:sz="8" w:space="0" w:color="auto"/>
              <w:right w:val="single" w:sz="8" w:space="0" w:color="auto"/>
            </w:tcBorders>
            <w:shd w:val="clear" w:color="auto" w:fill="auto"/>
            <w:vAlign w:val="bottom"/>
            <w:hideMark/>
          </w:tcPr>
          <w:p w:rsidR="003B577F" w:rsidRDefault="00BC1B3F">
            <w:pPr>
              <w:jc w:val="center"/>
              <w:rPr>
                <w:b/>
                <w:bCs/>
                <w:color w:val="000000"/>
                <w:sz w:val="22"/>
                <w:szCs w:val="22"/>
              </w:rPr>
            </w:pPr>
            <w:r>
              <w:rPr>
                <w:b/>
                <w:bCs/>
                <w:color w:val="000000"/>
                <w:sz w:val="22"/>
                <w:szCs w:val="22"/>
              </w:rPr>
              <w:t>Υπέρ το Άρτιο</w:t>
            </w:r>
          </w:p>
        </w:tc>
        <w:tc>
          <w:tcPr>
            <w:tcW w:w="778" w:type="pct"/>
            <w:tcBorders>
              <w:top w:val="single" w:sz="8" w:space="0" w:color="auto"/>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Υπόλοιπο Αποτελεσμάτων Εις Νέο</w:t>
            </w:r>
          </w:p>
        </w:tc>
        <w:tc>
          <w:tcPr>
            <w:tcW w:w="663" w:type="pct"/>
            <w:tcBorders>
              <w:top w:val="single" w:sz="8" w:space="0" w:color="auto"/>
              <w:left w:val="nil"/>
              <w:bottom w:val="single" w:sz="8" w:space="0" w:color="auto"/>
              <w:right w:val="single" w:sz="8" w:space="0" w:color="auto"/>
            </w:tcBorders>
            <w:shd w:val="clear" w:color="auto" w:fill="auto"/>
            <w:vAlign w:val="bottom"/>
            <w:hideMark/>
          </w:tcPr>
          <w:p w:rsidR="003B577F" w:rsidRDefault="003B577F">
            <w:pPr>
              <w:jc w:val="center"/>
              <w:rPr>
                <w:b/>
                <w:bCs/>
                <w:color w:val="000000"/>
                <w:sz w:val="22"/>
                <w:szCs w:val="22"/>
              </w:rPr>
            </w:pPr>
            <w:r>
              <w:rPr>
                <w:b/>
                <w:bCs/>
                <w:color w:val="000000"/>
                <w:sz w:val="22"/>
                <w:szCs w:val="22"/>
              </w:rPr>
              <w:t>Συνολικά ίδια κεφάλαια</w:t>
            </w:r>
          </w:p>
        </w:tc>
      </w:tr>
      <w:tr w:rsidR="003B577F" w:rsidTr="00BC1B3F">
        <w:trPr>
          <w:trHeight w:val="288"/>
        </w:trPr>
        <w:tc>
          <w:tcPr>
            <w:tcW w:w="2074" w:type="pct"/>
            <w:tcBorders>
              <w:top w:val="nil"/>
              <w:left w:val="single" w:sz="8" w:space="0" w:color="auto"/>
              <w:bottom w:val="nil"/>
              <w:right w:val="nil"/>
            </w:tcBorders>
            <w:shd w:val="clear" w:color="auto" w:fill="auto"/>
            <w:vAlign w:val="bottom"/>
            <w:hideMark/>
          </w:tcPr>
          <w:p w:rsidR="003B577F" w:rsidRDefault="003B577F">
            <w:pPr>
              <w:rPr>
                <w:b/>
                <w:bCs/>
                <w:color w:val="000000"/>
                <w:sz w:val="22"/>
                <w:szCs w:val="22"/>
              </w:rPr>
            </w:pPr>
            <w:r>
              <w:rPr>
                <w:b/>
                <w:bCs/>
                <w:color w:val="000000"/>
                <w:sz w:val="22"/>
                <w:szCs w:val="22"/>
              </w:rPr>
              <w:t>Υπόλοιπο Ιδίων Κεφαλαίων 1/1/2020</w:t>
            </w:r>
          </w:p>
        </w:tc>
        <w:tc>
          <w:tcPr>
            <w:tcW w:w="270" w:type="pct"/>
            <w:tcBorders>
              <w:top w:val="nil"/>
              <w:left w:val="nil"/>
              <w:bottom w:val="nil"/>
              <w:right w:val="single" w:sz="8" w:space="0" w:color="auto"/>
            </w:tcBorders>
            <w:shd w:val="clear" w:color="auto" w:fill="auto"/>
            <w:vAlign w:val="bottom"/>
            <w:hideMark/>
          </w:tcPr>
          <w:p w:rsidR="003B577F" w:rsidRDefault="003B577F">
            <w:pPr>
              <w:rPr>
                <w:b/>
                <w:bCs/>
                <w:color w:val="000000"/>
                <w:sz w:val="22"/>
                <w:szCs w:val="22"/>
              </w:rPr>
            </w:pPr>
            <w:r>
              <w:rPr>
                <w:b/>
                <w:bCs/>
                <w:color w:val="000000"/>
                <w:sz w:val="22"/>
                <w:szCs w:val="22"/>
              </w:rPr>
              <w:t> </w:t>
            </w:r>
          </w:p>
        </w:tc>
        <w:tc>
          <w:tcPr>
            <w:tcW w:w="624" w:type="pct"/>
            <w:tcBorders>
              <w:top w:val="nil"/>
              <w:left w:val="nil"/>
              <w:bottom w:val="double" w:sz="6" w:space="0" w:color="auto"/>
              <w:right w:val="single" w:sz="8" w:space="0" w:color="auto"/>
            </w:tcBorders>
            <w:shd w:val="clear" w:color="auto" w:fill="auto"/>
            <w:vAlign w:val="bottom"/>
            <w:hideMark/>
          </w:tcPr>
          <w:p w:rsidR="003B577F" w:rsidRDefault="003B577F">
            <w:pPr>
              <w:jc w:val="right"/>
              <w:rPr>
                <w:b/>
                <w:bCs/>
                <w:color w:val="000000"/>
                <w:sz w:val="22"/>
                <w:szCs w:val="22"/>
              </w:rPr>
            </w:pPr>
            <w:r>
              <w:rPr>
                <w:b/>
                <w:bCs/>
                <w:color w:val="000000"/>
                <w:sz w:val="22"/>
                <w:szCs w:val="22"/>
              </w:rPr>
              <w:t>1.005.500,00</w:t>
            </w:r>
          </w:p>
        </w:tc>
        <w:tc>
          <w:tcPr>
            <w:tcW w:w="591" w:type="pct"/>
            <w:tcBorders>
              <w:top w:val="nil"/>
              <w:left w:val="nil"/>
              <w:bottom w:val="double" w:sz="6" w:space="0" w:color="auto"/>
              <w:right w:val="single" w:sz="8" w:space="0" w:color="auto"/>
            </w:tcBorders>
            <w:shd w:val="clear" w:color="auto" w:fill="auto"/>
            <w:vAlign w:val="bottom"/>
            <w:hideMark/>
          </w:tcPr>
          <w:p w:rsidR="003B577F" w:rsidRDefault="003B577F">
            <w:pPr>
              <w:jc w:val="right"/>
              <w:rPr>
                <w:b/>
                <w:bCs/>
                <w:color w:val="000000"/>
                <w:sz w:val="22"/>
                <w:szCs w:val="22"/>
              </w:rPr>
            </w:pPr>
            <w:r>
              <w:rPr>
                <w:b/>
                <w:bCs/>
                <w:color w:val="000000"/>
                <w:sz w:val="22"/>
                <w:szCs w:val="22"/>
              </w:rPr>
              <w:t>1.336.500,00</w:t>
            </w:r>
          </w:p>
        </w:tc>
        <w:tc>
          <w:tcPr>
            <w:tcW w:w="778" w:type="pct"/>
            <w:tcBorders>
              <w:top w:val="nil"/>
              <w:left w:val="nil"/>
              <w:bottom w:val="double" w:sz="6" w:space="0" w:color="auto"/>
              <w:right w:val="single" w:sz="8" w:space="0" w:color="auto"/>
            </w:tcBorders>
            <w:shd w:val="clear" w:color="auto" w:fill="auto"/>
            <w:vAlign w:val="bottom"/>
            <w:hideMark/>
          </w:tcPr>
          <w:p w:rsidR="003B577F" w:rsidRDefault="003B577F">
            <w:pPr>
              <w:jc w:val="right"/>
              <w:rPr>
                <w:b/>
                <w:bCs/>
                <w:color w:val="000000"/>
                <w:sz w:val="22"/>
                <w:szCs w:val="22"/>
              </w:rPr>
            </w:pPr>
            <w:r>
              <w:rPr>
                <w:b/>
                <w:bCs/>
                <w:color w:val="000000"/>
                <w:sz w:val="22"/>
                <w:szCs w:val="22"/>
              </w:rPr>
              <w:t>-2.830.380,35</w:t>
            </w:r>
          </w:p>
        </w:tc>
        <w:tc>
          <w:tcPr>
            <w:tcW w:w="663" w:type="pct"/>
            <w:tcBorders>
              <w:top w:val="nil"/>
              <w:left w:val="nil"/>
              <w:bottom w:val="double" w:sz="6" w:space="0" w:color="auto"/>
              <w:right w:val="single" w:sz="8" w:space="0" w:color="auto"/>
            </w:tcBorders>
            <w:shd w:val="clear" w:color="auto" w:fill="auto"/>
            <w:vAlign w:val="bottom"/>
            <w:hideMark/>
          </w:tcPr>
          <w:p w:rsidR="003B577F" w:rsidRDefault="003B577F">
            <w:pPr>
              <w:jc w:val="right"/>
              <w:rPr>
                <w:b/>
                <w:bCs/>
                <w:color w:val="000000"/>
                <w:sz w:val="22"/>
                <w:szCs w:val="22"/>
              </w:rPr>
            </w:pPr>
            <w:r>
              <w:rPr>
                <w:b/>
                <w:bCs/>
                <w:color w:val="000000"/>
                <w:sz w:val="22"/>
                <w:szCs w:val="22"/>
              </w:rPr>
              <w:t>-488.380,35</w:t>
            </w:r>
          </w:p>
        </w:tc>
      </w:tr>
      <w:tr w:rsidR="003B577F" w:rsidTr="00BC1B3F">
        <w:trPr>
          <w:trHeight w:val="351"/>
        </w:trPr>
        <w:tc>
          <w:tcPr>
            <w:tcW w:w="2074"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Αποτελέσματα περιόδου</w:t>
            </w:r>
          </w:p>
        </w:tc>
        <w:tc>
          <w:tcPr>
            <w:tcW w:w="270" w:type="pct"/>
            <w:tcBorders>
              <w:top w:val="nil"/>
              <w:left w:val="nil"/>
              <w:bottom w:val="nil"/>
              <w:right w:val="single" w:sz="8" w:space="0" w:color="auto"/>
            </w:tcBorders>
            <w:shd w:val="clear" w:color="auto" w:fill="auto"/>
            <w:noWrap/>
            <w:vAlign w:val="bottom"/>
            <w:hideMark/>
          </w:tcPr>
          <w:p w:rsidR="003B577F" w:rsidRDefault="003B577F">
            <w:pPr>
              <w:jc w:val="center"/>
              <w:rPr>
                <w:color w:val="000000"/>
                <w:sz w:val="22"/>
                <w:szCs w:val="22"/>
              </w:rPr>
            </w:pPr>
            <w:r>
              <w:rPr>
                <w:color w:val="000000"/>
                <w:sz w:val="22"/>
                <w:szCs w:val="22"/>
              </w:rPr>
              <w:t> </w:t>
            </w:r>
          </w:p>
        </w:tc>
        <w:tc>
          <w:tcPr>
            <w:tcW w:w="624" w:type="pct"/>
            <w:tcBorders>
              <w:top w:val="nil"/>
              <w:left w:val="nil"/>
              <w:bottom w:val="nil"/>
              <w:right w:val="single" w:sz="8" w:space="0" w:color="auto"/>
            </w:tcBorders>
            <w:shd w:val="clear" w:color="auto" w:fill="auto"/>
            <w:vAlign w:val="bottom"/>
            <w:hideMark/>
          </w:tcPr>
          <w:p w:rsidR="003B577F" w:rsidRDefault="003B577F">
            <w:pPr>
              <w:jc w:val="right"/>
              <w:rPr>
                <w:color w:val="000000"/>
                <w:sz w:val="22"/>
                <w:szCs w:val="22"/>
              </w:rPr>
            </w:pPr>
            <w:r>
              <w:rPr>
                <w:color w:val="000000"/>
                <w:sz w:val="22"/>
                <w:szCs w:val="22"/>
              </w:rPr>
              <w:t> </w:t>
            </w:r>
          </w:p>
        </w:tc>
        <w:tc>
          <w:tcPr>
            <w:tcW w:w="591" w:type="pct"/>
            <w:tcBorders>
              <w:top w:val="nil"/>
              <w:left w:val="nil"/>
              <w:bottom w:val="nil"/>
              <w:right w:val="single" w:sz="8" w:space="0" w:color="auto"/>
            </w:tcBorders>
            <w:shd w:val="clear" w:color="auto" w:fill="auto"/>
            <w:vAlign w:val="bottom"/>
            <w:hideMark/>
          </w:tcPr>
          <w:p w:rsidR="003B577F" w:rsidRDefault="003B577F">
            <w:pPr>
              <w:jc w:val="right"/>
              <w:rPr>
                <w:color w:val="000000"/>
                <w:sz w:val="22"/>
                <w:szCs w:val="22"/>
              </w:rPr>
            </w:pPr>
            <w:r>
              <w:rPr>
                <w:color w:val="000000"/>
                <w:sz w:val="22"/>
                <w:szCs w:val="22"/>
              </w:rPr>
              <w:t> </w:t>
            </w:r>
          </w:p>
        </w:tc>
        <w:tc>
          <w:tcPr>
            <w:tcW w:w="778" w:type="pct"/>
            <w:tcBorders>
              <w:top w:val="nil"/>
              <w:left w:val="nil"/>
              <w:bottom w:val="nil"/>
              <w:right w:val="single" w:sz="8" w:space="0" w:color="auto"/>
            </w:tcBorders>
            <w:shd w:val="clear" w:color="auto" w:fill="auto"/>
            <w:vAlign w:val="bottom"/>
            <w:hideMark/>
          </w:tcPr>
          <w:p w:rsidR="003B577F" w:rsidRDefault="003B577F">
            <w:pPr>
              <w:jc w:val="right"/>
              <w:rPr>
                <w:color w:val="000000"/>
                <w:sz w:val="22"/>
                <w:szCs w:val="22"/>
              </w:rPr>
            </w:pPr>
            <w:r>
              <w:rPr>
                <w:color w:val="000000"/>
                <w:sz w:val="22"/>
                <w:szCs w:val="22"/>
              </w:rPr>
              <w:t>-589,91</w:t>
            </w:r>
          </w:p>
        </w:tc>
        <w:tc>
          <w:tcPr>
            <w:tcW w:w="663" w:type="pct"/>
            <w:tcBorders>
              <w:top w:val="nil"/>
              <w:left w:val="nil"/>
              <w:bottom w:val="nil"/>
              <w:right w:val="single" w:sz="8" w:space="0" w:color="auto"/>
            </w:tcBorders>
            <w:shd w:val="clear" w:color="auto" w:fill="auto"/>
            <w:vAlign w:val="bottom"/>
            <w:hideMark/>
          </w:tcPr>
          <w:p w:rsidR="003B577F" w:rsidRDefault="003B577F">
            <w:pPr>
              <w:jc w:val="right"/>
              <w:rPr>
                <w:b/>
                <w:bCs/>
                <w:color w:val="000000"/>
                <w:sz w:val="22"/>
                <w:szCs w:val="22"/>
              </w:rPr>
            </w:pPr>
            <w:r>
              <w:rPr>
                <w:b/>
                <w:bCs/>
                <w:color w:val="000000"/>
                <w:sz w:val="22"/>
                <w:szCs w:val="22"/>
              </w:rPr>
              <w:t>-589,91</w:t>
            </w:r>
          </w:p>
        </w:tc>
      </w:tr>
      <w:tr w:rsidR="003B577F" w:rsidTr="00BC1B3F">
        <w:trPr>
          <w:trHeight w:val="407"/>
        </w:trPr>
        <w:tc>
          <w:tcPr>
            <w:tcW w:w="2074" w:type="pct"/>
            <w:tcBorders>
              <w:top w:val="single" w:sz="4" w:space="0" w:color="auto"/>
              <w:left w:val="single" w:sz="8" w:space="0" w:color="auto"/>
              <w:bottom w:val="single" w:sz="8" w:space="0" w:color="auto"/>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Υπόλοιπο Ιδίων Κεφαλαίων 31/12/2020</w:t>
            </w:r>
          </w:p>
        </w:tc>
        <w:tc>
          <w:tcPr>
            <w:tcW w:w="270"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rPr>
                <w:b/>
                <w:bCs/>
                <w:color w:val="000000"/>
                <w:sz w:val="22"/>
                <w:szCs w:val="22"/>
              </w:rPr>
            </w:pPr>
            <w:r>
              <w:rPr>
                <w:b/>
                <w:bCs/>
                <w:color w:val="000000"/>
                <w:sz w:val="22"/>
                <w:szCs w:val="22"/>
              </w:rPr>
              <w:t> </w:t>
            </w:r>
          </w:p>
        </w:tc>
        <w:tc>
          <w:tcPr>
            <w:tcW w:w="624"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1.005.500,00</w:t>
            </w:r>
          </w:p>
        </w:tc>
        <w:tc>
          <w:tcPr>
            <w:tcW w:w="591"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1.336.500,00</w:t>
            </w:r>
          </w:p>
        </w:tc>
        <w:tc>
          <w:tcPr>
            <w:tcW w:w="778"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-2.830.970,26</w:t>
            </w:r>
          </w:p>
        </w:tc>
        <w:tc>
          <w:tcPr>
            <w:tcW w:w="663"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-488.970,26</w:t>
            </w:r>
          </w:p>
        </w:tc>
      </w:tr>
      <w:tr w:rsidR="003B577F" w:rsidTr="00BC1B3F">
        <w:trPr>
          <w:trHeight w:val="417"/>
        </w:trPr>
        <w:tc>
          <w:tcPr>
            <w:tcW w:w="2074" w:type="pct"/>
            <w:tcBorders>
              <w:top w:val="nil"/>
              <w:left w:val="single" w:sz="8" w:space="0" w:color="auto"/>
              <w:bottom w:val="nil"/>
              <w:right w:val="nil"/>
            </w:tcBorders>
            <w:shd w:val="clear" w:color="auto" w:fill="auto"/>
            <w:vAlign w:val="bottom"/>
            <w:hideMark/>
          </w:tcPr>
          <w:p w:rsidR="003B577F" w:rsidRDefault="003B577F">
            <w:pPr>
              <w:rPr>
                <w:color w:val="000000"/>
                <w:sz w:val="22"/>
                <w:szCs w:val="22"/>
              </w:rPr>
            </w:pPr>
            <w:r>
              <w:rPr>
                <w:color w:val="000000"/>
                <w:sz w:val="22"/>
                <w:szCs w:val="22"/>
              </w:rPr>
              <w:t>Αποτελέσματα περιόδου</w:t>
            </w:r>
          </w:p>
        </w:tc>
        <w:tc>
          <w:tcPr>
            <w:tcW w:w="270" w:type="pct"/>
            <w:tcBorders>
              <w:top w:val="nil"/>
              <w:left w:val="nil"/>
              <w:bottom w:val="nil"/>
              <w:right w:val="single" w:sz="8" w:space="0" w:color="auto"/>
            </w:tcBorders>
            <w:shd w:val="clear" w:color="auto" w:fill="auto"/>
            <w:noWrap/>
            <w:vAlign w:val="bottom"/>
            <w:hideMark/>
          </w:tcPr>
          <w:p w:rsidR="003B577F" w:rsidRDefault="003B577F">
            <w:pPr>
              <w:jc w:val="center"/>
              <w:rPr>
                <w:color w:val="000000"/>
                <w:sz w:val="22"/>
                <w:szCs w:val="22"/>
              </w:rPr>
            </w:pPr>
            <w:r>
              <w:rPr>
                <w:color w:val="000000"/>
                <w:sz w:val="22"/>
                <w:szCs w:val="22"/>
              </w:rPr>
              <w:t> </w:t>
            </w:r>
          </w:p>
        </w:tc>
        <w:tc>
          <w:tcPr>
            <w:tcW w:w="624" w:type="pct"/>
            <w:tcBorders>
              <w:top w:val="nil"/>
              <w:left w:val="nil"/>
              <w:bottom w:val="nil"/>
              <w:right w:val="single" w:sz="8" w:space="0" w:color="auto"/>
            </w:tcBorders>
            <w:shd w:val="clear" w:color="auto" w:fill="auto"/>
            <w:vAlign w:val="bottom"/>
            <w:hideMark/>
          </w:tcPr>
          <w:p w:rsidR="003B577F" w:rsidRDefault="003B577F">
            <w:pPr>
              <w:jc w:val="right"/>
              <w:rPr>
                <w:color w:val="000000"/>
                <w:sz w:val="22"/>
                <w:szCs w:val="22"/>
              </w:rPr>
            </w:pPr>
            <w:r>
              <w:rPr>
                <w:color w:val="000000"/>
                <w:sz w:val="22"/>
                <w:szCs w:val="22"/>
              </w:rPr>
              <w:t> </w:t>
            </w:r>
          </w:p>
        </w:tc>
        <w:tc>
          <w:tcPr>
            <w:tcW w:w="591" w:type="pct"/>
            <w:tcBorders>
              <w:top w:val="nil"/>
              <w:left w:val="nil"/>
              <w:bottom w:val="nil"/>
              <w:right w:val="single" w:sz="8" w:space="0" w:color="auto"/>
            </w:tcBorders>
            <w:shd w:val="clear" w:color="auto" w:fill="auto"/>
            <w:vAlign w:val="bottom"/>
            <w:hideMark/>
          </w:tcPr>
          <w:p w:rsidR="003B577F" w:rsidRDefault="003B577F">
            <w:pPr>
              <w:jc w:val="right"/>
              <w:rPr>
                <w:color w:val="000000"/>
                <w:sz w:val="22"/>
                <w:szCs w:val="22"/>
              </w:rPr>
            </w:pPr>
            <w:r>
              <w:rPr>
                <w:color w:val="000000"/>
                <w:sz w:val="22"/>
                <w:szCs w:val="22"/>
              </w:rPr>
              <w:t> </w:t>
            </w:r>
          </w:p>
        </w:tc>
        <w:tc>
          <w:tcPr>
            <w:tcW w:w="778" w:type="pct"/>
            <w:tcBorders>
              <w:top w:val="nil"/>
              <w:left w:val="nil"/>
              <w:bottom w:val="nil"/>
              <w:right w:val="single" w:sz="8" w:space="0" w:color="auto"/>
            </w:tcBorders>
            <w:shd w:val="clear" w:color="auto" w:fill="auto"/>
            <w:vAlign w:val="bottom"/>
            <w:hideMark/>
          </w:tcPr>
          <w:p w:rsidR="003B577F" w:rsidRDefault="003B577F">
            <w:pPr>
              <w:jc w:val="right"/>
              <w:rPr>
                <w:color w:val="000000"/>
                <w:sz w:val="22"/>
                <w:szCs w:val="22"/>
              </w:rPr>
            </w:pPr>
            <w:r>
              <w:rPr>
                <w:color w:val="000000"/>
                <w:sz w:val="22"/>
                <w:szCs w:val="22"/>
              </w:rPr>
              <w:t>-1.372,45</w:t>
            </w:r>
          </w:p>
        </w:tc>
        <w:tc>
          <w:tcPr>
            <w:tcW w:w="663" w:type="pct"/>
            <w:tcBorders>
              <w:top w:val="nil"/>
              <w:left w:val="nil"/>
              <w:bottom w:val="nil"/>
              <w:right w:val="single" w:sz="8" w:space="0" w:color="auto"/>
            </w:tcBorders>
            <w:shd w:val="clear" w:color="auto" w:fill="auto"/>
            <w:vAlign w:val="bottom"/>
            <w:hideMark/>
          </w:tcPr>
          <w:p w:rsidR="003B577F" w:rsidRDefault="003B577F">
            <w:pPr>
              <w:jc w:val="right"/>
              <w:rPr>
                <w:b/>
                <w:bCs/>
                <w:color w:val="000000"/>
                <w:sz w:val="22"/>
                <w:szCs w:val="22"/>
              </w:rPr>
            </w:pPr>
            <w:r>
              <w:rPr>
                <w:b/>
                <w:bCs/>
                <w:color w:val="000000"/>
                <w:sz w:val="22"/>
                <w:szCs w:val="22"/>
              </w:rPr>
              <w:t>-1.372,45</w:t>
            </w:r>
          </w:p>
        </w:tc>
      </w:tr>
      <w:tr w:rsidR="003B577F" w:rsidTr="00BC1B3F">
        <w:trPr>
          <w:trHeight w:val="419"/>
        </w:trPr>
        <w:tc>
          <w:tcPr>
            <w:tcW w:w="2074" w:type="pct"/>
            <w:tcBorders>
              <w:top w:val="single" w:sz="4" w:space="0" w:color="auto"/>
              <w:left w:val="single" w:sz="8" w:space="0" w:color="auto"/>
              <w:bottom w:val="single" w:sz="8" w:space="0" w:color="auto"/>
              <w:right w:val="nil"/>
            </w:tcBorders>
            <w:shd w:val="clear" w:color="auto" w:fill="auto"/>
            <w:noWrap/>
            <w:vAlign w:val="bottom"/>
            <w:hideMark/>
          </w:tcPr>
          <w:p w:rsidR="003B577F" w:rsidRDefault="003B577F">
            <w:pPr>
              <w:rPr>
                <w:b/>
                <w:bCs/>
                <w:color w:val="000000"/>
                <w:sz w:val="22"/>
                <w:szCs w:val="22"/>
              </w:rPr>
            </w:pPr>
            <w:r>
              <w:rPr>
                <w:b/>
                <w:bCs/>
                <w:color w:val="000000"/>
                <w:sz w:val="22"/>
                <w:szCs w:val="22"/>
              </w:rPr>
              <w:t>Υπόλοιπο Ιδίων Κεφαλαίων 31/12/2021</w:t>
            </w:r>
          </w:p>
        </w:tc>
        <w:tc>
          <w:tcPr>
            <w:tcW w:w="270"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rPr>
                <w:b/>
                <w:bCs/>
                <w:color w:val="000000"/>
                <w:sz w:val="22"/>
                <w:szCs w:val="22"/>
              </w:rPr>
            </w:pPr>
            <w:r>
              <w:rPr>
                <w:b/>
                <w:bCs/>
                <w:color w:val="000000"/>
                <w:sz w:val="22"/>
                <w:szCs w:val="22"/>
              </w:rPr>
              <w:t> </w:t>
            </w:r>
          </w:p>
        </w:tc>
        <w:tc>
          <w:tcPr>
            <w:tcW w:w="624"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1.005.500,00</w:t>
            </w:r>
          </w:p>
        </w:tc>
        <w:tc>
          <w:tcPr>
            <w:tcW w:w="591"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1.336.500,00</w:t>
            </w:r>
          </w:p>
        </w:tc>
        <w:tc>
          <w:tcPr>
            <w:tcW w:w="778"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-2.832.342,71</w:t>
            </w:r>
          </w:p>
        </w:tc>
        <w:tc>
          <w:tcPr>
            <w:tcW w:w="663" w:type="pct"/>
            <w:tcBorders>
              <w:top w:val="single" w:sz="4" w:space="0" w:color="auto"/>
              <w:left w:val="nil"/>
              <w:bottom w:val="single" w:sz="8" w:space="0" w:color="auto"/>
              <w:right w:val="single" w:sz="8" w:space="0" w:color="auto"/>
            </w:tcBorders>
            <w:shd w:val="clear" w:color="auto" w:fill="auto"/>
            <w:noWrap/>
            <w:vAlign w:val="bottom"/>
            <w:hideMark/>
          </w:tcPr>
          <w:p w:rsidR="003B577F" w:rsidRDefault="003B577F">
            <w:pPr>
              <w:jc w:val="right"/>
              <w:rPr>
                <w:b/>
                <w:bCs/>
                <w:color w:val="000000"/>
                <w:sz w:val="22"/>
                <w:szCs w:val="22"/>
              </w:rPr>
            </w:pPr>
            <w:r>
              <w:rPr>
                <w:b/>
                <w:bCs/>
                <w:color w:val="000000"/>
                <w:sz w:val="22"/>
                <w:szCs w:val="22"/>
              </w:rPr>
              <w:t>-490.342,71</w:t>
            </w:r>
          </w:p>
        </w:tc>
      </w:tr>
    </w:tbl>
    <w:p w:rsidR="00113FF0" w:rsidRPr="00A131AE" w:rsidRDefault="00113FF0" w:rsidP="00442E06">
      <w:pPr>
        <w:shd w:val="clear" w:color="auto" w:fill="FFFFFF"/>
        <w:spacing w:after="200" w:line="276" w:lineRule="auto"/>
        <w:ind w:right="14"/>
        <w:rPr>
          <w:b/>
          <w:sz w:val="22"/>
          <w:szCs w:val="22"/>
          <w:highlight w:val="yellow"/>
        </w:rPr>
        <w:sectPr w:rsidR="00113FF0" w:rsidRPr="00A131AE" w:rsidSect="00887C7B">
          <w:headerReference w:type="default" r:id="rId17"/>
          <w:footerReference w:type="default" r:id="rId18"/>
          <w:pgSz w:w="16838" w:h="11906" w:orient="landscape"/>
          <w:pgMar w:top="1418" w:right="1418" w:bottom="1418" w:left="1418" w:header="709" w:footer="709" w:gutter="0"/>
          <w:cols w:space="708"/>
          <w:docGrid w:linePitch="360"/>
        </w:sectPr>
      </w:pPr>
    </w:p>
    <w:p w:rsidR="00442E06" w:rsidRPr="00A131AE" w:rsidRDefault="00442E06" w:rsidP="00B82D0D">
      <w:pPr>
        <w:spacing w:after="200" w:line="276" w:lineRule="auto"/>
        <w:rPr>
          <w:b/>
          <w:bCs/>
          <w:i/>
          <w:iCs/>
          <w:color w:val="000000"/>
          <w:sz w:val="22"/>
          <w:szCs w:val="22"/>
          <w:highlight w:val="yellow"/>
          <w:u w:val="single"/>
        </w:rPr>
      </w:pPr>
    </w:p>
    <w:p w:rsidR="0077094D" w:rsidRPr="00253B1B" w:rsidRDefault="00792AFF" w:rsidP="0077094D">
      <w:pPr>
        <w:pStyle w:val="1"/>
        <w:rPr>
          <w:lang w:val="el-GR"/>
        </w:rPr>
      </w:pPr>
      <w:bookmarkStart w:id="11" w:name="_Toc488058531"/>
      <w:bookmarkStart w:id="12" w:name="_Toc15545992"/>
      <w:r w:rsidRPr="00253B1B">
        <w:t>Προσάρτημα (σημειώσεις) επί των χρηματοοικονομικών καταστάσεων</w:t>
      </w:r>
      <w:r w:rsidR="00B3587C" w:rsidRPr="00253B1B">
        <w:t xml:space="preserve"> </w:t>
      </w:r>
      <w:bookmarkStart w:id="13" w:name="_Toc447633678"/>
      <w:r w:rsidR="00F14C81" w:rsidRPr="00253B1B">
        <w:br/>
      </w:r>
      <w:r w:rsidR="00B3587C" w:rsidRPr="00253B1B">
        <w:t>της</w:t>
      </w:r>
      <w:bookmarkEnd w:id="13"/>
      <w:r w:rsidR="00B3587C" w:rsidRPr="00253B1B">
        <w:t xml:space="preserve"> </w:t>
      </w:r>
      <w:bookmarkStart w:id="14" w:name="_Toc447633679"/>
      <w:r w:rsidR="00F14C81" w:rsidRPr="00253B1B">
        <w:br/>
      </w:r>
      <w:r w:rsidR="00B3587C" w:rsidRPr="00253B1B">
        <w:t xml:space="preserve">31ης Δεκεμβρίου </w:t>
      </w:r>
      <w:bookmarkEnd w:id="14"/>
      <w:r w:rsidR="00257F20" w:rsidRPr="00253B1B">
        <w:rPr>
          <w:lang w:val="el-GR"/>
        </w:rPr>
        <w:t>20</w:t>
      </w:r>
      <w:bookmarkEnd w:id="11"/>
      <w:bookmarkEnd w:id="12"/>
      <w:r w:rsidR="00012256">
        <w:rPr>
          <w:lang w:val="el-GR"/>
        </w:rPr>
        <w:t>21</w:t>
      </w:r>
    </w:p>
    <w:p w:rsidR="00792AFF" w:rsidRPr="00253B1B" w:rsidRDefault="0077094D" w:rsidP="0077094D">
      <w:pPr>
        <w:pStyle w:val="1"/>
        <w:rPr>
          <w:lang w:val="el-GR"/>
        </w:rPr>
      </w:pPr>
      <w:bookmarkStart w:id="15" w:name="_Toc447633680"/>
      <w:bookmarkStart w:id="16" w:name="_Toc488058532"/>
      <w:bookmarkStart w:id="17" w:name="_Toc15545993"/>
      <w:r w:rsidRPr="00253B1B">
        <w:rPr>
          <w:lang w:val="el-GR"/>
        </w:rPr>
        <w:t>(Σύμφωνα με όσα προβλέπονται στο άρθρο 29 του Ν.4308/2014)</w:t>
      </w:r>
      <w:bookmarkEnd w:id="15"/>
      <w:bookmarkEnd w:id="16"/>
      <w:bookmarkEnd w:id="17"/>
    </w:p>
    <w:p w:rsidR="0075005E" w:rsidRPr="00253B1B" w:rsidRDefault="0075005E" w:rsidP="0075005E">
      <w:pPr>
        <w:rPr>
          <w:lang w:eastAsia="en-US"/>
        </w:rPr>
      </w:pPr>
    </w:p>
    <w:p w:rsidR="004A2266" w:rsidRPr="00253B1B" w:rsidRDefault="004A2266" w:rsidP="004A2266">
      <w:pPr>
        <w:rPr>
          <w:lang w:eastAsia="en-US"/>
        </w:rPr>
      </w:pPr>
    </w:p>
    <w:p w:rsidR="00FF2F42" w:rsidRPr="00253B1B" w:rsidRDefault="00FF2F42" w:rsidP="00EA17C8">
      <w:pPr>
        <w:pStyle w:val="1"/>
        <w:spacing w:after="160"/>
        <w:jc w:val="left"/>
      </w:pPr>
      <w:bookmarkStart w:id="18" w:name="_Toc488058533"/>
      <w:bookmarkStart w:id="19" w:name="_Toc15545994"/>
      <w:bookmarkEnd w:id="0"/>
      <w:r w:rsidRPr="00253B1B">
        <w:t>﻿1. Π</w:t>
      </w:r>
      <w:r w:rsidR="007C7A23" w:rsidRPr="00253B1B">
        <w:t xml:space="preserve">ληροφορίες σχετικές με την </w:t>
      </w:r>
      <w:r w:rsidR="00F2647B" w:rsidRPr="00253B1B">
        <w:t>Εταιρεία</w:t>
      </w:r>
      <w:bookmarkEnd w:id="18"/>
      <w:bookmarkEnd w:id="19"/>
    </w:p>
    <w:p w:rsidR="00FF2F42" w:rsidRPr="00253B1B" w:rsidRDefault="00670839" w:rsidP="00EA17C8">
      <w:pPr>
        <w:shd w:val="clear" w:color="auto" w:fill="FFFFFF"/>
        <w:spacing w:after="160" w:line="276" w:lineRule="auto"/>
        <w:ind w:left="851" w:right="14" w:hanging="284"/>
        <w:jc w:val="both"/>
        <w:rPr>
          <w:sz w:val="22"/>
          <w:szCs w:val="22"/>
          <w:lang w:val="x-none"/>
        </w:rPr>
      </w:pPr>
      <w:r w:rsidRPr="00253B1B">
        <w:rPr>
          <w:rStyle w:val="FontStyle49"/>
          <w:b w:val="0"/>
          <w:sz w:val="22"/>
          <w:szCs w:val="22"/>
        </w:rPr>
        <w:t xml:space="preserve">α) </w:t>
      </w:r>
      <w:r w:rsidR="00FF2F42" w:rsidRPr="00253B1B">
        <w:rPr>
          <w:rStyle w:val="FontStyle49"/>
          <w:b w:val="0"/>
          <w:sz w:val="22"/>
          <w:szCs w:val="22"/>
        </w:rPr>
        <w:t>Επωνυμία:</w:t>
      </w:r>
      <w:r w:rsidR="00FF2F42" w:rsidRPr="00253B1B">
        <w:rPr>
          <w:rStyle w:val="FontStyle49"/>
          <w:sz w:val="22"/>
          <w:szCs w:val="22"/>
        </w:rPr>
        <w:t xml:space="preserve"> </w:t>
      </w:r>
      <w:r w:rsidR="00743AF3" w:rsidRPr="00253B1B">
        <w:rPr>
          <w:rStyle w:val="FontStyle49"/>
          <w:b w:val="0"/>
          <w:sz w:val="22"/>
          <w:szCs w:val="22"/>
        </w:rPr>
        <w:t>«ΕΛΛΗΝΙΚΑ ΦΑΡΜΑΚΑ - ΕΡΕΥΝΑ ΚΑΙ ΑΝΑΠΤΥΞΗ - ΑΝΩNΥΜΗ ΕΤΑΙΡΕΙΑ» με τον διακριτικό τίτλο</w:t>
      </w:r>
      <w:r w:rsidR="00743AF3" w:rsidRPr="00253B1B">
        <w:rPr>
          <w:rStyle w:val="FontStyle49"/>
          <w:b w:val="0"/>
          <w:bCs w:val="0"/>
          <w:sz w:val="22"/>
          <w:szCs w:val="22"/>
        </w:rPr>
        <w:t xml:space="preserve"> </w:t>
      </w:r>
      <w:r w:rsidR="00743AF3" w:rsidRPr="00253B1B">
        <w:rPr>
          <w:rStyle w:val="FontStyle49"/>
          <w:b w:val="0"/>
          <w:sz w:val="22"/>
          <w:szCs w:val="22"/>
        </w:rPr>
        <w:t>«</w:t>
      </w:r>
      <w:r w:rsidR="00743AF3" w:rsidRPr="00253B1B">
        <w:rPr>
          <w:rStyle w:val="FontStyle49"/>
          <w:b w:val="0"/>
          <w:bCs w:val="0"/>
          <w:sz w:val="22"/>
          <w:szCs w:val="22"/>
        </w:rPr>
        <w:t>ELDRUG Α.Ε.</w:t>
      </w:r>
      <w:r w:rsidR="00743AF3" w:rsidRPr="00253B1B">
        <w:rPr>
          <w:rStyle w:val="FontStyle49"/>
          <w:b w:val="0"/>
          <w:sz w:val="22"/>
          <w:szCs w:val="22"/>
        </w:rPr>
        <w:t>»</w:t>
      </w:r>
    </w:p>
    <w:p w:rsidR="00FF2F42" w:rsidRPr="00253B1B" w:rsidRDefault="00FF2F42" w:rsidP="00EA17C8">
      <w:pPr>
        <w:shd w:val="clear" w:color="auto" w:fill="FFFFFF"/>
        <w:spacing w:after="160" w:line="276" w:lineRule="auto"/>
        <w:ind w:left="851" w:right="14" w:hanging="284"/>
        <w:jc w:val="both"/>
        <w:rPr>
          <w:sz w:val="22"/>
          <w:szCs w:val="22"/>
        </w:rPr>
      </w:pPr>
      <w:r w:rsidRPr="00253B1B">
        <w:rPr>
          <w:sz w:val="22"/>
          <w:szCs w:val="22"/>
        </w:rPr>
        <w:t xml:space="preserve">β) Νομικός τύπος: </w:t>
      </w:r>
      <w:r w:rsidRPr="00253B1B">
        <w:rPr>
          <w:rStyle w:val="FontStyle49"/>
          <w:b w:val="0"/>
          <w:sz w:val="22"/>
          <w:szCs w:val="22"/>
        </w:rPr>
        <w:t>Ανώνυμη εταιρεία.</w:t>
      </w:r>
    </w:p>
    <w:p w:rsidR="00FF2F42" w:rsidRPr="00253B1B" w:rsidRDefault="00FF2F42" w:rsidP="00EA17C8">
      <w:pPr>
        <w:shd w:val="clear" w:color="auto" w:fill="FFFFFF"/>
        <w:spacing w:after="160" w:line="276" w:lineRule="auto"/>
        <w:ind w:left="851" w:right="14" w:hanging="284"/>
        <w:jc w:val="both"/>
        <w:rPr>
          <w:sz w:val="22"/>
          <w:szCs w:val="22"/>
        </w:rPr>
      </w:pPr>
      <w:r w:rsidRPr="00253B1B">
        <w:rPr>
          <w:sz w:val="22"/>
          <w:szCs w:val="22"/>
        </w:rPr>
        <w:t>γ) Περίοδος αναφοράς: 1.1.</w:t>
      </w:r>
      <w:r w:rsidR="00012256">
        <w:rPr>
          <w:sz w:val="22"/>
          <w:szCs w:val="22"/>
        </w:rPr>
        <w:t>2021 - 31.12.2021</w:t>
      </w:r>
    </w:p>
    <w:p w:rsidR="00FF2F42" w:rsidRPr="00253B1B" w:rsidRDefault="00FF2F42" w:rsidP="00EA17C8">
      <w:pPr>
        <w:shd w:val="clear" w:color="auto" w:fill="FFFFFF"/>
        <w:spacing w:after="160" w:line="276" w:lineRule="auto"/>
        <w:ind w:left="851" w:right="14" w:hanging="284"/>
        <w:jc w:val="both"/>
        <w:rPr>
          <w:sz w:val="22"/>
          <w:szCs w:val="22"/>
          <w:lang w:val="x-none"/>
        </w:rPr>
      </w:pPr>
      <w:r w:rsidRPr="00253B1B">
        <w:rPr>
          <w:sz w:val="22"/>
          <w:szCs w:val="22"/>
        </w:rPr>
        <w:t xml:space="preserve">δ) </w:t>
      </w:r>
      <w:r w:rsidR="00670839" w:rsidRPr="00253B1B">
        <w:rPr>
          <w:sz w:val="22"/>
          <w:szCs w:val="22"/>
        </w:rPr>
        <w:tab/>
      </w:r>
      <w:r w:rsidRPr="00253B1B">
        <w:rPr>
          <w:sz w:val="22"/>
          <w:szCs w:val="22"/>
        </w:rPr>
        <w:t xml:space="preserve">Διεύθυνση της έδρας: </w:t>
      </w:r>
      <w:r w:rsidR="009A4A4B" w:rsidRPr="00253B1B">
        <w:rPr>
          <w:sz w:val="22"/>
          <w:szCs w:val="22"/>
        </w:rPr>
        <w:t>«ΕΛΛΗΝΙΚΑ ΦΑΡΜΑΚΑ - ΕΡΕΥΝΑ ΚΑΙ ΑΝΑΠΤΥΞΗ - ΑΝΩNΥΜΗ ΕΤΑΙΡΕΙΑ» με τον διακριτικό τίτλο «ELDRUG Α.Ε.»</w:t>
      </w:r>
    </w:p>
    <w:p w:rsidR="00FF2F42" w:rsidRPr="00253B1B" w:rsidRDefault="00670839" w:rsidP="00EA17C8">
      <w:pPr>
        <w:shd w:val="clear" w:color="auto" w:fill="FFFFFF"/>
        <w:spacing w:after="160" w:line="276" w:lineRule="auto"/>
        <w:ind w:left="851" w:right="14" w:hanging="284"/>
        <w:jc w:val="both"/>
        <w:rPr>
          <w:sz w:val="22"/>
          <w:szCs w:val="22"/>
        </w:rPr>
      </w:pPr>
      <w:r w:rsidRPr="00253B1B">
        <w:rPr>
          <w:sz w:val="22"/>
          <w:szCs w:val="22"/>
        </w:rPr>
        <w:t>ε)</w:t>
      </w:r>
      <w:r w:rsidRPr="00253B1B">
        <w:rPr>
          <w:sz w:val="22"/>
          <w:szCs w:val="22"/>
        </w:rPr>
        <w:tab/>
      </w:r>
      <w:r w:rsidR="00FF2F42" w:rsidRPr="00253B1B">
        <w:rPr>
          <w:sz w:val="22"/>
          <w:szCs w:val="22"/>
        </w:rPr>
        <w:t>Α.Μ.Α.Ε.:</w:t>
      </w:r>
      <w:r w:rsidR="00FC27D7" w:rsidRPr="00253B1B">
        <w:rPr>
          <w:sz w:val="22"/>
          <w:szCs w:val="22"/>
        </w:rPr>
        <w:t xml:space="preserve"> 61240/22/Β/06/34</w:t>
      </w:r>
    </w:p>
    <w:p w:rsidR="00FF2F42" w:rsidRPr="00253B1B" w:rsidRDefault="00FF2F42" w:rsidP="00EA17C8">
      <w:pPr>
        <w:shd w:val="clear" w:color="auto" w:fill="FFFFFF"/>
        <w:spacing w:after="160" w:line="276" w:lineRule="auto"/>
        <w:ind w:left="131" w:right="14" w:firstLine="720"/>
        <w:jc w:val="both"/>
        <w:rPr>
          <w:sz w:val="22"/>
          <w:szCs w:val="22"/>
        </w:rPr>
      </w:pPr>
      <w:r w:rsidRPr="00253B1B">
        <w:rPr>
          <w:sz w:val="22"/>
          <w:szCs w:val="22"/>
        </w:rPr>
        <w:t xml:space="preserve">ΓΕ.ΜΗ.: </w:t>
      </w:r>
      <w:r w:rsidR="00102B39" w:rsidRPr="00253B1B">
        <w:rPr>
          <w:sz w:val="22"/>
          <w:szCs w:val="22"/>
        </w:rPr>
        <w:t>0</w:t>
      </w:r>
      <w:r w:rsidR="00FC27D7" w:rsidRPr="00253B1B">
        <w:rPr>
          <w:sz w:val="22"/>
          <w:szCs w:val="22"/>
        </w:rPr>
        <w:t>35522716000</w:t>
      </w:r>
    </w:p>
    <w:p w:rsidR="00180837" w:rsidRPr="00253B1B" w:rsidRDefault="00FF2F42" w:rsidP="00EA17C8">
      <w:pPr>
        <w:shd w:val="clear" w:color="auto" w:fill="FFFFFF"/>
        <w:spacing w:after="160" w:line="276" w:lineRule="auto"/>
        <w:ind w:left="993" w:right="14" w:hanging="426"/>
        <w:jc w:val="both"/>
        <w:rPr>
          <w:sz w:val="22"/>
          <w:szCs w:val="22"/>
        </w:rPr>
      </w:pPr>
      <w:r w:rsidRPr="00253B1B">
        <w:rPr>
          <w:sz w:val="22"/>
          <w:szCs w:val="22"/>
        </w:rPr>
        <w:t>στ)</w:t>
      </w:r>
      <w:r w:rsidR="00670839" w:rsidRPr="00253B1B">
        <w:rPr>
          <w:sz w:val="22"/>
          <w:szCs w:val="22"/>
        </w:rPr>
        <w:tab/>
      </w:r>
      <w:r w:rsidRPr="00253B1B">
        <w:rPr>
          <w:sz w:val="22"/>
          <w:szCs w:val="22"/>
        </w:rPr>
        <w:t>Η διοίκηση εκτιμά ότι η παραδοχή της συνεχιζόμενης δραστηριότ</w:t>
      </w:r>
      <w:r w:rsidR="00670839" w:rsidRPr="00253B1B">
        <w:rPr>
          <w:sz w:val="22"/>
          <w:szCs w:val="22"/>
        </w:rPr>
        <w:t xml:space="preserve">ητας είναι ενδεδειγμένη για την </w:t>
      </w:r>
      <w:r w:rsidRPr="00253B1B">
        <w:rPr>
          <w:sz w:val="22"/>
          <w:szCs w:val="22"/>
        </w:rPr>
        <w:t xml:space="preserve">κατάρτιση των χρηματοοικονομικών καταστάσεων. </w:t>
      </w:r>
    </w:p>
    <w:p w:rsidR="00FF2F42" w:rsidRPr="00253B1B" w:rsidRDefault="00180837" w:rsidP="00EA17C8">
      <w:pPr>
        <w:shd w:val="clear" w:color="auto" w:fill="FFFFFF"/>
        <w:spacing w:after="160" w:line="276" w:lineRule="auto"/>
        <w:ind w:left="851" w:right="14" w:hanging="284"/>
        <w:jc w:val="both"/>
        <w:rPr>
          <w:sz w:val="22"/>
          <w:szCs w:val="22"/>
        </w:rPr>
      </w:pPr>
      <w:r w:rsidRPr="00253B1B">
        <w:rPr>
          <w:sz w:val="22"/>
          <w:szCs w:val="22"/>
        </w:rPr>
        <w:t>ζ</w:t>
      </w:r>
      <w:r w:rsidR="00FF2F42" w:rsidRPr="00253B1B">
        <w:rPr>
          <w:sz w:val="22"/>
          <w:szCs w:val="22"/>
        </w:rPr>
        <w:t>)</w:t>
      </w:r>
      <w:r w:rsidR="00670839" w:rsidRPr="00253B1B">
        <w:rPr>
          <w:sz w:val="22"/>
          <w:szCs w:val="22"/>
        </w:rPr>
        <w:tab/>
      </w:r>
      <w:r w:rsidR="00FF2F42" w:rsidRPr="00253B1B">
        <w:rPr>
          <w:sz w:val="22"/>
          <w:szCs w:val="22"/>
        </w:rPr>
        <w:t>Η ε</w:t>
      </w:r>
      <w:r w:rsidR="00711D21" w:rsidRPr="00253B1B">
        <w:rPr>
          <w:sz w:val="22"/>
          <w:szCs w:val="22"/>
        </w:rPr>
        <w:t xml:space="preserve">ταιρεία  ανήκει στην κατηγορία </w:t>
      </w:r>
      <w:r w:rsidR="00FF2F42" w:rsidRPr="00253B1B">
        <w:rPr>
          <w:sz w:val="22"/>
          <w:szCs w:val="22"/>
        </w:rPr>
        <w:t>πολύ μικρή οντότητα.</w:t>
      </w:r>
    </w:p>
    <w:p w:rsidR="00FF2F42" w:rsidRPr="00253B1B" w:rsidRDefault="00180837" w:rsidP="00EA17C8">
      <w:pPr>
        <w:shd w:val="clear" w:color="auto" w:fill="FFFFFF"/>
        <w:spacing w:after="160" w:line="276" w:lineRule="auto"/>
        <w:ind w:left="851" w:right="14" w:hanging="284"/>
        <w:jc w:val="both"/>
        <w:rPr>
          <w:sz w:val="22"/>
          <w:szCs w:val="22"/>
        </w:rPr>
      </w:pPr>
      <w:r w:rsidRPr="00253B1B">
        <w:rPr>
          <w:sz w:val="22"/>
          <w:szCs w:val="22"/>
        </w:rPr>
        <w:t>η</w:t>
      </w:r>
      <w:r w:rsidR="00FF2F42" w:rsidRPr="00253B1B">
        <w:rPr>
          <w:sz w:val="22"/>
          <w:szCs w:val="22"/>
        </w:rPr>
        <w:t xml:space="preserve">) </w:t>
      </w:r>
      <w:r w:rsidR="00670839" w:rsidRPr="00253B1B">
        <w:rPr>
          <w:sz w:val="22"/>
          <w:szCs w:val="22"/>
        </w:rPr>
        <w:tab/>
      </w:r>
      <w:r w:rsidR="00FF2F42" w:rsidRPr="00253B1B">
        <w:rPr>
          <w:sz w:val="22"/>
          <w:szCs w:val="22"/>
        </w:rPr>
        <w:t>Η διοίκηση δηλώνει ότι οι χρηματοοικονομικές καταστάσεις έχου</w:t>
      </w:r>
      <w:r w:rsidR="00670839" w:rsidRPr="00253B1B">
        <w:rPr>
          <w:sz w:val="22"/>
          <w:szCs w:val="22"/>
        </w:rPr>
        <w:t xml:space="preserve">ν καταρτιστεί σε πλήρη συμφωνία </w:t>
      </w:r>
      <w:r w:rsidR="00FF2F42" w:rsidRPr="00253B1B">
        <w:rPr>
          <w:sz w:val="22"/>
          <w:szCs w:val="22"/>
        </w:rPr>
        <w:t>με τον παρόντα νόμο.</w:t>
      </w:r>
    </w:p>
    <w:p w:rsidR="00180837" w:rsidRPr="00253B1B" w:rsidRDefault="00180837" w:rsidP="00EA17C8">
      <w:pPr>
        <w:shd w:val="clear" w:color="auto" w:fill="FFFFFF"/>
        <w:spacing w:after="160" w:line="276" w:lineRule="auto"/>
        <w:ind w:left="851" w:right="14" w:hanging="284"/>
        <w:jc w:val="both"/>
        <w:rPr>
          <w:sz w:val="22"/>
          <w:szCs w:val="22"/>
        </w:rPr>
      </w:pPr>
      <w:r w:rsidRPr="00253B1B">
        <w:rPr>
          <w:bCs/>
          <w:sz w:val="22"/>
          <w:szCs w:val="22"/>
        </w:rPr>
        <w:t>θ</w:t>
      </w:r>
      <w:r w:rsidR="00670839" w:rsidRPr="00253B1B">
        <w:rPr>
          <w:bCs/>
          <w:sz w:val="22"/>
          <w:szCs w:val="22"/>
        </w:rPr>
        <w:t>)</w:t>
      </w:r>
      <w:r w:rsidR="00670839" w:rsidRPr="00253B1B">
        <w:rPr>
          <w:bCs/>
          <w:sz w:val="22"/>
          <w:szCs w:val="22"/>
        </w:rPr>
        <w:tab/>
      </w:r>
      <w:r w:rsidRPr="00253B1B">
        <w:rPr>
          <w:bCs/>
          <w:sz w:val="22"/>
          <w:szCs w:val="22"/>
        </w:rPr>
        <w:t>Τα ποσά των χρηματοοικονομικών</w:t>
      </w:r>
      <w:r w:rsidRPr="00253B1B">
        <w:rPr>
          <w:sz w:val="22"/>
          <w:szCs w:val="22"/>
        </w:rPr>
        <w:t xml:space="preserve"> καταστάσεων εκφράζονται σε ευρώ, που αποτελεί το λειτουργικό νόμισμα της Εταιρείας. </w:t>
      </w:r>
    </w:p>
    <w:p w:rsidR="00180837" w:rsidRPr="00253B1B" w:rsidRDefault="00180837" w:rsidP="00EA17C8">
      <w:pPr>
        <w:shd w:val="clear" w:color="auto" w:fill="FFFFFF"/>
        <w:spacing w:after="160" w:line="276" w:lineRule="auto"/>
        <w:ind w:left="851" w:right="14" w:hanging="284"/>
        <w:jc w:val="both"/>
        <w:rPr>
          <w:sz w:val="22"/>
          <w:szCs w:val="22"/>
        </w:rPr>
      </w:pPr>
      <w:r w:rsidRPr="00253B1B">
        <w:rPr>
          <w:sz w:val="22"/>
          <w:szCs w:val="22"/>
        </w:rPr>
        <w:t>ι</w:t>
      </w:r>
      <w:r w:rsidR="00670839" w:rsidRPr="00253B1B">
        <w:rPr>
          <w:sz w:val="22"/>
          <w:szCs w:val="22"/>
        </w:rPr>
        <w:t>)</w:t>
      </w:r>
      <w:r w:rsidR="00670839" w:rsidRPr="00253B1B">
        <w:rPr>
          <w:sz w:val="22"/>
          <w:szCs w:val="22"/>
        </w:rPr>
        <w:tab/>
      </w:r>
      <w:r w:rsidRPr="00253B1B">
        <w:rPr>
          <w:sz w:val="22"/>
          <w:szCs w:val="22"/>
        </w:rPr>
        <w:t>Τα ποσά δεν έχουν στρογγυλοποιηθεί εκτός αν αναφέρεται διαφορετικά.</w:t>
      </w:r>
    </w:p>
    <w:p w:rsidR="00F2647B" w:rsidRPr="00253B1B" w:rsidRDefault="00FF2F42" w:rsidP="00EA17C8">
      <w:pPr>
        <w:pStyle w:val="1"/>
        <w:spacing w:after="160"/>
        <w:jc w:val="left"/>
      </w:pPr>
      <w:bookmarkStart w:id="20" w:name="_Toc488058534"/>
      <w:bookmarkStart w:id="21" w:name="_Toc15545995"/>
      <w:r w:rsidRPr="00253B1B">
        <w:t>2. Π</w:t>
      </w:r>
      <w:r w:rsidR="00F2647B" w:rsidRPr="00253B1B">
        <w:t>αράγοντες που θέτουν σε κίνδυνο την προοπτική της Εταιρείας ως συνεχιζόμενης δραστηριότητας</w:t>
      </w:r>
      <w:bookmarkEnd w:id="20"/>
      <w:bookmarkEnd w:id="21"/>
    </w:p>
    <w:p w:rsidR="0035127F" w:rsidRPr="00253B1B" w:rsidRDefault="00AC7B5E" w:rsidP="0035127F">
      <w:pPr>
        <w:shd w:val="clear" w:color="auto" w:fill="FFFFFF"/>
        <w:spacing w:after="200" w:line="276" w:lineRule="auto"/>
        <w:ind w:left="5" w:right="14" w:firstLine="562"/>
        <w:jc w:val="both"/>
        <w:rPr>
          <w:sz w:val="22"/>
          <w:szCs w:val="22"/>
        </w:rPr>
      </w:pPr>
      <w:r w:rsidRPr="00253B1B">
        <w:rPr>
          <w:sz w:val="22"/>
          <w:szCs w:val="22"/>
        </w:rPr>
        <w:t>Τα αρνητικά ίδια κεφάλαια και</w:t>
      </w:r>
      <w:r w:rsidR="001B4C86" w:rsidRPr="00253B1B">
        <w:rPr>
          <w:sz w:val="22"/>
          <w:szCs w:val="22"/>
        </w:rPr>
        <w:t xml:space="preserve"> </w:t>
      </w:r>
      <w:r w:rsidR="00474BEE" w:rsidRPr="00253B1B">
        <w:rPr>
          <w:sz w:val="22"/>
          <w:szCs w:val="22"/>
        </w:rPr>
        <w:t>το αρνητικό κεφάλαιο κίνησης</w:t>
      </w:r>
      <w:r w:rsidR="0035127F" w:rsidRPr="00253B1B">
        <w:rPr>
          <w:sz w:val="22"/>
          <w:szCs w:val="22"/>
        </w:rPr>
        <w:t xml:space="preserve"> προξενούν εύλογη αβεβαιότητα αναφορικά µε την δυνατότητα της εταιρείας να συνεχίσει την δραστηριότητά της. </w:t>
      </w:r>
    </w:p>
    <w:p w:rsidR="0035127F" w:rsidRPr="00253B1B" w:rsidRDefault="0035127F" w:rsidP="0035127F">
      <w:pPr>
        <w:shd w:val="clear" w:color="auto" w:fill="FFFFFF"/>
        <w:spacing w:after="200" w:line="276" w:lineRule="auto"/>
        <w:ind w:left="5" w:right="14" w:firstLine="562"/>
        <w:jc w:val="both"/>
        <w:rPr>
          <w:sz w:val="22"/>
          <w:szCs w:val="22"/>
        </w:rPr>
      </w:pPr>
      <w:r w:rsidRPr="007A28F7">
        <w:rPr>
          <w:sz w:val="22"/>
          <w:szCs w:val="22"/>
        </w:rPr>
        <w:t xml:space="preserve">Η διοίκηση του </w:t>
      </w:r>
      <w:r w:rsidR="00253B1B" w:rsidRPr="007A28F7">
        <w:rPr>
          <w:sz w:val="22"/>
          <w:szCs w:val="22"/>
        </w:rPr>
        <w:t>ομίλου</w:t>
      </w:r>
      <w:r w:rsidRPr="007A28F7">
        <w:rPr>
          <w:sz w:val="22"/>
          <w:szCs w:val="22"/>
        </w:rPr>
        <w:t xml:space="preserve"> </w:t>
      </w:r>
      <w:r w:rsidR="003C1CFA" w:rsidRPr="007A28F7">
        <w:rPr>
          <w:sz w:val="22"/>
          <w:szCs w:val="22"/>
        </w:rPr>
        <w:t xml:space="preserve">ΒΙΑΝΕΞ, στον οποίο ανήκει η εταιρεία, </w:t>
      </w:r>
      <w:r w:rsidR="00253B1B" w:rsidRPr="007A28F7">
        <w:rPr>
          <w:sz w:val="22"/>
          <w:szCs w:val="22"/>
        </w:rPr>
        <w:t>λαμβάνοντας</w:t>
      </w:r>
      <w:r w:rsidRPr="007A28F7">
        <w:rPr>
          <w:sz w:val="22"/>
          <w:szCs w:val="22"/>
        </w:rPr>
        <w:t xml:space="preserve"> υπ’ όψη τις ανωτέρω αβεβαιότητες </w:t>
      </w:r>
      <w:r w:rsidR="00253B1B" w:rsidRPr="007A28F7">
        <w:rPr>
          <w:sz w:val="22"/>
          <w:szCs w:val="22"/>
        </w:rPr>
        <w:t>εκτιμά</w:t>
      </w:r>
      <w:r w:rsidRPr="007A28F7">
        <w:rPr>
          <w:sz w:val="22"/>
          <w:szCs w:val="22"/>
        </w:rPr>
        <w:t xml:space="preserve"> ότι η εταιρία θα μπορέσει να συνεχίσει για το προβλεπτό μέλλον την λειτουργία της </w:t>
      </w:r>
      <w:r w:rsidR="00253B1B" w:rsidRPr="007A28F7">
        <w:rPr>
          <w:sz w:val="22"/>
          <w:szCs w:val="22"/>
        </w:rPr>
        <w:t>δεδομένου</w:t>
      </w:r>
      <w:r w:rsidRPr="007A28F7">
        <w:rPr>
          <w:sz w:val="22"/>
          <w:szCs w:val="22"/>
        </w:rPr>
        <w:t xml:space="preserve"> ότι </w:t>
      </w:r>
      <w:r w:rsidR="002E5DD3">
        <w:rPr>
          <w:sz w:val="22"/>
          <w:szCs w:val="22"/>
        </w:rPr>
        <w:t>η μητρική εταιρία θα διαθέσει</w:t>
      </w:r>
      <w:r w:rsidRPr="007A28F7">
        <w:rPr>
          <w:sz w:val="22"/>
          <w:szCs w:val="22"/>
        </w:rPr>
        <w:t xml:space="preserve"> </w:t>
      </w:r>
      <w:r w:rsidR="002E5DD3">
        <w:rPr>
          <w:sz w:val="22"/>
          <w:szCs w:val="22"/>
        </w:rPr>
        <w:t>πόρους</w:t>
      </w:r>
      <w:r w:rsidRPr="007A28F7">
        <w:rPr>
          <w:sz w:val="22"/>
          <w:szCs w:val="22"/>
        </w:rPr>
        <w:t>, οι οποίοι εξασφαλίζουν τη συνέχιση της λειτουργίας της ως «δρώσα οικονομική μονάδα (Going Concern)».</w:t>
      </w:r>
    </w:p>
    <w:p w:rsidR="00FF2F42" w:rsidRPr="00253B1B" w:rsidRDefault="00FF2F42" w:rsidP="006949A7">
      <w:pPr>
        <w:pStyle w:val="1"/>
        <w:jc w:val="left"/>
        <w:rPr>
          <w:lang w:val="el-GR"/>
        </w:rPr>
      </w:pPr>
      <w:bookmarkStart w:id="22" w:name="_Toc488058535"/>
      <w:bookmarkStart w:id="23" w:name="_Toc15545996"/>
      <w:r w:rsidRPr="00253B1B">
        <w:t>3. Λ</w:t>
      </w:r>
      <w:r w:rsidR="00503C91" w:rsidRPr="00253B1B">
        <w:t>ογιστικές αρχές και μέθοδοι</w:t>
      </w:r>
      <w:bookmarkEnd w:id="22"/>
      <w:bookmarkEnd w:id="23"/>
    </w:p>
    <w:p w:rsidR="0043517B" w:rsidRPr="00253B1B" w:rsidRDefault="0043517B" w:rsidP="0043517B">
      <w:pPr>
        <w:rPr>
          <w:sz w:val="14"/>
          <w:lang w:eastAsia="en-US"/>
        </w:rPr>
      </w:pPr>
    </w:p>
    <w:p w:rsidR="00180837" w:rsidRPr="00253B1B" w:rsidRDefault="00180837" w:rsidP="00B82D0D">
      <w:pPr>
        <w:shd w:val="clear" w:color="auto" w:fill="FFFFFF"/>
        <w:spacing w:after="200" w:line="276" w:lineRule="auto"/>
        <w:ind w:left="5" w:right="14" w:firstLine="562"/>
        <w:jc w:val="both"/>
        <w:rPr>
          <w:sz w:val="22"/>
          <w:szCs w:val="22"/>
        </w:rPr>
      </w:pPr>
      <w:r w:rsidRPr="00253B1B">
        <w:rPr>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w:t>
      </w:r>
      <w:r w:rsidRPr="00253B1B">
        <w:rPr>
          <w:sz w:val="22"/>
          <w:szCs w:val="22"/>
        </w:rPr>
        <w:lastRenderedPageBreak/>
        <w:t xml:space="preserve">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επανεκτιμούνται σε συνεχή βάση.  </w:t>
      </w:r>
    </w:p>
    <w:p w:rsidR="00180837" w:rsidRPr="00253B1B" w:rsidRDefault="00180837" w:rsidP="00B82D0D">
      <w:pPr>
        <w:shd w:val="clear" w:color="auto" w:fill="FFFFFF"/>
        <w:spacing w:after="200" w:line="276" w:lineRule="auto"/>
        <w:ind w:left="5" w:right="14" w:firstLine="562"/>
        <w:jc w:val="both"/>
        <w:rPr>
          <w:sz w:val="22"/>
          <w:szCs w:val="22"/>
        </w:rPr>
      </w:pPr>
      <w:r w:rsidRPr="00253B1B">
        <w:rPr>
          <w:sz w:val="22"/>
          <w:szCs w:val="22"/>
        </w:rPr>
        <w:t>Οι λογιστικές εκτιμήσεις γίνονται κυρίως για τον υπολογισμό των αποσβέσεων των  παγίων, τις συμμετοχές, την απομείωση των απαιτήσεων, τις προβλέψεις και την εκτίμηση της εύλογης αξίας εφόσον επιλέγεται η εφαρμογή της.</w:t>
      </w:r>
    </w:p>
    <w:p w:rsidR="00FF2F42" w:rsidRPr="00253B1B" w:rsidRDefault="00FF2F42" w:rsidP="00B82D0D">
      <w:pPr>
        <w:shd w:val="clear" w:color="auto" w:fill="FFFFFF"/>
        <w:spacing w:after="200" w:line="276" w:lineRule="auto"/>
        <w:ind w:left="5" w:right="14" w:hanging="5"/>
        <w:jc w:val="both"/>
        <w:rPr>
          <w:b/>
          <w:sz w:val="22"/>
          <w:szCs w:val="22"/>
        </w:rPr>
      </w:pPr>
      <w:r w:rsidRPr="00253B1B">
        <w:rPr>
          <w:b/>
          <w:sz w:val="22"/>
          <w:szCs w:val="22"/>
        </w:rPr>
        <w:t>3.1. Ακολουθούμενες λογιστικές αρχές και μέθοδοι</w:t>
      </w:r>
    </w:p>
    <w:p w:rsidR="00B34338" w:rsidRPr="00253B1B" w:rsidRDefault="00E86F8A" w:rsidP="00B82D0D">
      <w:pPr>
        <w:shd w:val="clear" w:color="auto" w:fill="FFFFFF"/>
        <w:spacing w:after="200" w:line="276" w:lineRule="auto"/>
        <w:ind w:left="5" w:right="14" w:firstLine="562"/>
        <w:jc w:val="both"/>
        <w:rPr>
          <w:sz w:val="22"/>
          <w:szCs w:val="22"/>
        </w:rPr>
      </w:pPr>
      <w:r w:rsidRPr="00253B1B">
        <w:rPr>
          <w:sz w:val="22"/>
          <w:szCs w:val="22"/>
        </w:rPr>
        <w:t xml:space="preserve">﻿Η </w:t>
      </w:r>
      <w:r w:rsidR="00FF2F42" w:rsidRPr="00253B1B">
        <w:rPr>
          <w:sz w:val="22"/>
          <w:szCs w:val="22"/>
        </w:rPr>
        <w:t>εταιρεία για τα επιμέρους στοιχεία των χρηματοοικονομικών καταστάσεων εφαρμόζει τις ακόλουθε</w:t>
      </w:r>
      <w:r w:rsidR="00180837" w:rsidRPr="00253B1B">
        <w:rPr>
          <w:sz w:val="22"/>
          <w:szCs w:val="22"/>
        </w:rPr>
        <w:t xml:space="preserve">ς λογιστικές αρχές και μεθόδους, στα πλαίσια της βασικής αρχής του δουλευμένου. </w:t>
      </w:r>
    </w:p>
    <w:p w:rsidR="00FF2F42" w:rsidRPr="00253B1B" w:rsidRDefault="00FF2F42" w:rsidP="00B82D0D">
      <w:pPr>
        <w:shd w:val="clear" w:color="auto" w:fill="FFFFFF"/>
        <w:spacing w:after="200" w:line="276" w:lineRule="auto"/>
        <w:ind w:left="5" w:right="14" w:hanging="5"/>
        <w:jc w:val="both"/>
        <w:rPr>
          <w:b/>
          <w:sz w:val="22"/>
          <w:szCs w:val="22"/>
        </w:rPr>
      </w:pPr>
      <w:r w:rsidRPr="00253B1B">
        <w:rPr>
          <w:b/>
          <w:sz w:val="22"/>
          <w:szCs w:val="22"/>
        </w:rPr>
        <w:t xml:space="preserve">3.1.1. </w:t>
      </w:r>
      <w:r w:rsidR="003F2BDF" w:rsidRPr="00253B1B">
        <w:rPr>
          <w:b/>
          <w:sz w:val="22"/>
          <w:szCs w:val="22"/>
        </w:rPr>
        <w:t>Ενσώματα π</w:t>
      </w:r>
      <w:r w:rsidRPr="00253B1B">
        <w:rPr>
          <w:b/>
          <w:sz w:val="22"/>
          <w:szCs w:val="22"/>
        </w:rPr>
        <w:t>άγια περιουσιακά στοιχεία</w:t>
      </w:r>
    </w:p>
    <w:p w:rsidR="00F92643" w:rsidRPr="00253B1B" w:rsidRDefault="00F92643" w:rsidP="00B82D0D">
      <w:pPr>
        <w:shd w:val="clear" w:color="auto" w:fill="FFFFFF"/>
        <w:spacing w:after="200" w:line="276" w:lineRule="auto"/>
        <w:ind w:left="5" w:right="14" w:firstLine="562"/>
        <w:jc w:val="both"/>
        <w:rPr>
          <w:b/>
          <w:sz w:val="22"/>
          <w:szCs w:val="22"/>
        </w:rPr>
      </w:pPr>
      <w:r w:rsidRPr="00253B1B">
        <w:rPr>
          <w:b/>
          <w:sz w:val="22"/>
          <w:szCs w:val="22"/>
        </w:rPr>
        <w:t>α) Αρχική καταχώριση</w:t>
      </w:r>
    </w:p>
    <w:p w:rsidR="00FF2F42" w:rsidRPr="00253B1B" w:rsidRDefault="00FF2F42" w:rsidP="00B82D0D">
      <w:pPr>
        <w:shd w:val="clear" w:color="auto" w:fill="FFFFFF"/>
        <w:spacing w:after="200" w:line="276" w:lineRule="auto"/>
        <w:ind w:left="5" w:right="14" w:firstLine="562"/>
        <w:jc w:val="both"/>
        <w:rPr>
          <w:sz w:val="22"/>
          <w:szCs w:val="22"/>
        </w:rPr>
      </w:pPr>
      <w:r w:rsidRPr="00253B1B">
        <w:rPr>
          <w:sz w:val="22"/>
          <w:szCs w:val="22"/>
        </w:rPr>
        <w:t xml:space="preserve">Τα </w:t>
      </w:r>
      <w:r w:rsidR="003F2BDF" w:rsidRPr="00253B1B">
        <w:rPr>
          <w:sz w:val="22"/>
          <w:szCs w:val="22"/>
        </w:rPr>
        <w:t xml:space="preserve">ενσώματα </w:t>
      </w:r>
      <w:r w:rsidRPr="00253B1B">
        <w:rPr>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253B1B">
        <w:rPr>
          <w:sz w:val="22"/>
          <w:szCs w:val="22"/>
        </w:rPr>
        <w:t xml:space="preserve">για να έλθει </w:t>
      </w:r>
      <w:r w:rsidRPr="00253B1B">
        <w:rPr>
          <w:sz w:val="22"/>
          <w:szCs w:val="22"/>
        </w:rPr>
        <w:t xml:space="preserve">το στοιχείο στην παρούσα κατάσταση ή θέση ή επιδιωκόμενη χρήση. </w:t>
      </w:r>
    </w:p>
    <w:p w:rsidR="00FF2F42" w:rsidRPr="00253B1B" w:rsidRDefault="00FF2F42" w:rsidP="00B82D0D">
      <w:pPr>
        <w:shd w:val="clear" w:color="auto" w:fill="FFFFFF"/>
        <w:spacing w:after="200" w:line="276" w:lineRule="auto"/>
        <w:ind w:left="5" w:right="14" w:firstLine="562"/>
        <w:jc w:val="both"/>
        <w:rPr>
          <w:sz w:val="22"/>
          <w:szCs w:val="22"/>
          <w:u w:val="single"/>
        </w:rPr>
      </w:pPr>
      <w:r w:rsidRPr="00253B1B">
        <w:rPr>
          <w:sz w:val="22"/>
          <w:szCs w:val="22"/>
        </w:rPr>
        <w:t>Ειδικότερα το κόστος των ιδιοπαραγόμενων πάγιων στοιχείων</w:t>
      </w:r>
      <w:r w:rsidR="001065DA" w:rsidRPr="00253B1B">
        <w:rPr>
          <w:sz w:val="22"/>
          <w:szCs w:val="22"/>
        </w:rPr>
        <w:t xml:space="preserve">, </w:t>
      </w:r>
      <w:r w:rsidRPr="00253B1B">
        <w:rPr>
          <w:sz w:val="22"/>
          <w:szCs w:val="22"/>
        </w:rPr>
        <w:t xml:space="preserve"> περιλαμβάνει το κόστος πρώτων υλών, αναλώσιμων υλικών, εργασίας και άλλο κόστος που σχετίζεται άμεσα με το εν λόγω πάγιο στοιχείο. Επιπλέον περιλαμβάνει μια εύλογη αναλογία σταθερών και μεταβλητών εξόδων που σχετίζονται έμμεσα με το </w:t>
      </w:r>
      <w:r w:rsidR="00503C91" w:rsidRPr="00253B1B">
        <w:rPr>
          <w:sz w:val="22"/>
          <w:szCs w:val="22"/>
        </w:rPr>
        <w:t>ιδιοπαραγόμενο</w:t>
      </w:r>
      <w:r w:rsidRPr="00253B1B">
        <w:rPr>
          <w:sz w:val="22"/>
          <w:szCs w:val="22"/>
        </w:rPr>
        <w:t xml:space="preserve"> πάγιο στοιχείο, στο βαθμό που τα ποσά αυτά αναφέρονται στην περίοδο κατασκευής</w:t>
      </w:r>
      <w:r w:rsidR="00F92643" w:rsidRPr="00253B1B">
        <w:rPr>
          <w:sz w:val="22"/>
          <w:szCs w:val="22"/>
        </w:rPr>
        <w:t xml:space="preserve"> ή παραγωγής</w:t>
      </w:r>
      <w:r w:rsidRPr="00253B1B">
        <w:rPr>
          <w:sz w:val="22"/>
          <w:szCs w:val="22"/>
        </w:rPr>
        <w:t xml:space="preserve">. Η εταιρεία </w:t>
      </w:r>
      <w:r w:rsidR="00C569B8" w:rsidRPr="00253B1B">
        <w:rPr>
          <w:sz w:val="22"/>
          <w:szCs w:val="22"/>
        </w:rPr>
        <w:t>δεν επιβαρύνει</w:t>
      </w:r>
      <w:r w:rsidRPr="00253B1B">
        <w:rPr>
          <w:sz w:val="22"/>
          <w:szCs w:val="22"/>
        </w:rPr>
        <w:t xml:space="preserve"> το κόστος των ιδιοπαραγόμενων πάγιων στοιχείων μακράς περιόδου κατασκευής ή παραγωγής με τόκους εντόκων υποχρεώσεων κατά το μέρος που αναλογούν σε αυτό.</w:t>
      </w:r>
    </w:p>
    <w:p w:rsidR="00F92643" w:rsidRPr="00253B1B" w:rsidRDefault="00F92643" w:rsidP="00B82D0D">
      <w:pPr>
        <w:shd w:val="clear" w:color="auto" w:fill="FFFFFF"/>
        <w:spacing w:after="200" w:line="276" w:lineRule="auto"/>
        <w:ind w:left="5" w:right="14" w:firstLine="562"/>
        <w:jc w:val="both"/>
        <w:rPr>
          <w:b/>
          <w:sz w:val="22"/>
          <w:szCs w:val="22"/>
        </w:rPr>
      </w:pPr>
      <w:r w:rsidRPr="00253B1B">
        <w:rPr>
          <w:b/>
          <w:sz w:val="22"/>
          <w:szCs w:val="22"/>
        </w:rPr>
        <w:t>β) Μεταγενέστερη αποτίμηση</w:t>
      </w:r>
    </w:p>
    <w:p w:rsidR="00FF2F42" w:rsidRPr="00253B1B" w:rsidRDefault="00FF2F42" w:rsidP="00B82D0D">
      <w:pPr>
        <w:shd w:val="clear" w:color="auto" w:fill="FFFFFF"/>
        <w:spacing w:after="200" w:line="276" w:lineRule="auto"/>
        <w:ind w:left="5" w:right="14" w:firstLine="562"/>
        <w:jc w:val="both"/>
        <w:rPr>
          <w:sz w:val="22"/>
          <w:szCs w:val="22"/>
        </w:rPr>
      </w:pPr>
      <w:r w:rsidRPr="00253B1B">
        <w:rPr>
          <w:sz w:val="22"/>
          <w:szCs w:val="22"/>
        </w:rPr>
        <w:t>Μεταγενέστερα της αρχικής καταχωρίσεως πάγια περιουσιακά στοιχεία αποτιμούνται στο αποσβέσιμο κόστος (αρχικό κόστος κτήσεως, πλέον κάθε μεταγενέστερη δαπάνη που πληροί τον ορισμό του περιουσιακού στοιχείου, μείον σωρευμένες αποσβέσεις και ζημίες απομειώσεως).</w:t>
      </w:r>
    </w:p>
    <w:p w:rsidR="00C74D88" w:rsidRPr="00253B1B" w:rsidRDefault="00C74D88" w:rsidP="00B82D0D">
      <w:pPr>
        <w:shd w:val="clear" w:color="auto" w:fill="FFFFFF"/>
        <w:spacing w:after="200" w:line="276" w:lineRule="auto"/>
        <w:ind w:left="5" w:right="14" w:firstLine="562"/>
        <w:jc w:val="both"/>
        <w:rPr>
          <w:sz w:val="22"/>
          <w:szCs w:val="22"/>
        </w:rPr>
      </w:pPr>
      <w:r w:rsidRPr="00253B1B">
        <w:rPr>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Κτίρια και τεχνικά έργα: </w:t>
      </w:r>
      <w:r w:rsidR="003D79B0" w:rsidRPr="00253B1B">
        <w:rPr>
          <w:sz w:val="22"/>
          <w:szCs w:val="22"/>
        </w:rPr>
        <w:t>3 - 25</w:t>
      </w:r>
      <w:r w:rsidRPr="00253B1B">
        <w:rPr>
          <w:sz w:val="22"/>
          <w:szCs w:val="22"/>
        </w:rPr>
        <w:t xml:space="preserve"> έτη.</w:t>
      </w:r>
    </w:p>
    <w:p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Μηχανήματα - Τεχνικές εγκαταστάσεις και λοιπός μηχανολογικός εξοπλισμός </w:t>
      </w:r>
      <w:r w:rsidR="003D79B0" w:rsidRPr="00253B1B">
        <w:rPr>
          <w:sz w:val="22"/>
          <w:szCs w:val="22"/>
        </w:rPr>
        <w:t>3 - 10</w:t>
      </w:r>
      <w:r w:rsidRPr="00253B1B">
        <w:rPr>
          <w:sz w:val="22"/>
          <w:szCs w:val="22"/>
        </w:rPr>
        <w:t xml:space="preserve"> έτη.</w:t>
      </w:r>
    </w:p>
    <w:p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Μεταφορικά μέσα επιβατικά </w:t>
      </w:r>
      <w:r w:rsidR="00A82FAC" w:rsidRPr="00253B1B">
        <w:rPr>
          <w:sz w:val="22"/>
          <w:szCs w:val="22"/>
          <w:lang w:val="en-US"/>
        </w:rPr>
        <w:t>5 - 9</w:t>
      </w:r>
      <w:r w:rsidRPr="00253B1B">
        <w:rPr>
          <w:sz w:val="22"/>
          <w:szCs w:val="22"/>
        </w:rPr>
        <w:t xml:space="preserve"> έτη.</w:t>
      </w:r>
    </w:p>
    <w:p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Μεταφορικά μέσα φορτηγά κ.λπ. </w:t>
      </w:r>
      <w:r w:rsidR="00A82FAC" w:rsidRPr="00253B1B">
        <w:rPr>
          <w:sz w:val="22"/>
          <w:szCs w:val="22"/>
        </w:rPr>
        <w:t>4 - 9</w:t>
      </w:r>
      <w:r w:rsidRPr="00253B1B">
        <w:rPr>
          <w:sz w:val="22"/>
          <w:szCs w:val="22"/>
        </w:rPr>
        <w:t xml:space="preserve"> έτη.</w:t>
      </w:r>
    </w:p>
    <w:p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Έπιπλα και εξοπλισμός γραφείων </w:t>
      </w:r>
      <w:r w:rsidR="00A82FAC" w:rsidRPr="00253B1B">
        <w:rPr>
          <w:sz w:val="22"/>
          <w:szCs w:val="22"/>
        </w:rPr>
        <w:t>4 - 10</w:t>
      </w:r>
      <w:r w:rsidRPr="00253B1B">
        <w:rPr>
          <w:sz w:val="22"/>
          <w:szCs w:val="22"/>
        </w:rPr>
        <w:t xml:space="preserve"> έτη.</w:t>
      </w:r>
    </w:p>
    <w:p w:rsidR="00FF2F42" w:rsidRPr="00253B1B" w:rsidRDefault="00FF2F42" w:rsidP="00B82D0D">
      <w:pPr>
        <w:shd w:val="clear" w:color="auto" w:fill="FFFFFF"/>
        <w:spacing w:after="200" w:line="276" w:lineRule="auto"/>
        <w:ind w:left="5" w:right="14" w:firstLine="562"/>
        <w:jc w:val="both"/>
        <w:rPr>
          <w:sz w:val="22"/>
          <w:szCs w:val="22"/>
        </w:rPr>
      </w:pPr>
      <w:r w:rsidRPr="00253B1B">
        <w:rPr>
          <w:sz w:val="22"/>
          <w:szCs w:val="22"/>
        </w:rPr>
        <w:t>Ζημία απομειώσεως καταχωρίζεται όταν εκτιμάται ότι η λογιστική αξία του στοιχείου έχει υπερβεί την ανακτήσιμη αξία του.</w:t>
      </w:r>
    </w:p>
    <w:p w:rsidR="00F92643" w:rsidRPr="00253B1B" w:rsidRDefault="00F92643" w:rsidP="00B82D0D">
      <w:pPr>
        <w:shd w:val="clear" w:color="auto" w:fill="FFFFFF"/>
        <w:spacing w:after="200" w:line="276" w:lineRule="auto"/>
        <w:ind w:left="5" w:right="14" w:firstLine="562"/>
        <w:jc w:val="both"/>
        <w:rPr>
          <w:sz w:val="22"/>
          <w:szCs w:val="22"/>
        </w:rPr>
      </w:pPr>
      <w:r w:rsidRPr="00253B1B">
        <w:rPr>
          <w:sz w:val="22"/>
          <w:szCs w:val="22"/>
        </w:rPr>
        <w:t>Οι λογιστικές αξίες των πάγιων περιουσιακών στοιχείων της Εταιρείας ελέγχονται για απομείωση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253B1B">
        <w:rPr>
          <w:sz w:val="22"/>
          <w:szCs w:val="22"/>
        </w:rPr>
        <w:t>α</w:t>
      </w:r>
      <w:r w:rsidRPr="00253B1B">
        <w:rPr>
          <w:sz w:val="22"/>
          <w:szCs w:val="22"/>
        </w:rPr>
        <w:t xml:space="preserve"> των </w:t>
      </w:r>
      <w:r w:rsidR="0030458D" w:rsidRPr="00253B1B">
        <w:rPr>
          <w:sz w:val="22"/>
          <w:szCs w:val="22"/>
        </w:rPr>
        <w:t xml:space="preserve">πάγιων </w:t>
      </w:r>
      <w:r w:rsidRPr="00253B1B">
        <w:rPr>
          <w:sz w:val="22"/>
          <w:szCs w:val="22"/>
        </w:rPr>
        <w:t>περιουσιακών στοιχείων και αν οι λογιστικές αξίες υπερβαίνουν τ</w:t>
      </w:r>
      <w:r w:rsidR="0030458D" w:rsidRPr="00253B1B">
        <w:rPr>
          <w:sz w:val="22"/>
          <w:szCs w:val="22"/>
        </w:rPr>
        <w:t>ην</w:t>
      </w:r>
      <w:r w:rsidRPr="00253B1B">
        <w:rPr>
          <w:sz w:val="22"/>
          <w:szCs w:val="22"/>
        </w:rPr>
        <w:t xml:space="preserve"> εκτιμώμεν</w:t>
      </w:r>
      <w:r w:rsidR="0030458D" w:rsidRPr="00253B1B">
        <w:rPr>
          <w:sz w:val="22"/>
          <w:szCs w:val="22"/>
        </w:rPr>
        <w:t>η</w:t>
      </w:r>
      <w:r w:rsidRPr="00253B1B">
        <w:rPr>
          <w:sz w:val="22"/>
          <w:szCs w:val="22"/>
        </w:rPr>
        <w:t xml:space="preserve"> ανακτήσιμ</w:t>
      </w:r>
      <w:r w:rsidR="0030458D" w:rsidRPr="00253B1B">
        <w:rPr>
          <w:sz w:val="22"/>
          <w:szCs w:val="22"/>
        </w:rPr>
        <w:t>η αξία</w:t>
      </w:r>
      <w:r w:rsidRPr="00253B1B">
        <w:rPr>
          <w:sz w:val="22"/>
          <w:szCs w:val="22"/>
        </w:rPr>
        <w:t xml:space="preserve">, </w:t>
      </w:r>
      <w:r w:rsidR="0030458D" w:rsidRPr="00253B1B">
        <w:rPr>
          <w:sz w:val="22"/>
          <w:szCs w:val="22"/>
        </w:rPr>
        <w:t>η σχετική διαφορά καταχ</w:t>
      </w:r>
      <w:r w:rsidRPr="00253B1B">
        <w:rPr>
          <w:sz w:val="22"/>
          <w:szCs w:val="22"/>
        </w:rPr>
        <w:t xml:space="preserve">ωρίζεται </w:t>
      </w:r>
      <w:r w:rsidR="0030458D" w:rsidRPr="00253B1B">
        <w:rPr>
          <w:sz w:val="22"/>
          <w:szCs w:val="22"/>
        </w:rPr>
        <w:t xml:space="preserve">ως </w:t>
      </w:r>
      <w:r w:rsidRPr="00253B1B">
        <w:rPr>
          <w:sz w:val="22"/>
          <w:szCs w:val="22"/>
        </w:rPr>
        <w:t xml:space="preserve">ζημία απομείωσης στην κατάσταση </w:t>
      </w:r>
      <w:r w:rsidRPr="00253B1B">
        <w:rPr>
          <w:sz w:val="22"/>
          <w:szCs w:val="22"/>
        </w:rPr>
        <w:lastRenderedPageBreak/>
        <w:t>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253B1B">
        <w:rPr>
          <w:sz w:val="22"/>
          <w:szCs w:val="22"/>
        </w:rPr>
        <w:t>εω</w:t>
      </w:r>
      <w:r w:rsidRPr="00253B1B">
        <w:rPr>
          <w:sz w:val="22"/>
          <w:szCs w:val="22"/>
        </w:rPr>
        <w:t xml:space="preserve">ς αυτών. </w:t>
      </w:r>
    </w:p>
    <w:p w:rsidR="00942BB3" w:rsidRPr="00253B1B" w:rsidRDefault="00942BB3" w:rsidP="00B82D0D">
      <w:pPr>
        <w:shd w:val="clear" w:color="auto" w:fill="FFFFFF"/>
        <w:spacing w:after="200" w:line="276" w:lineRule="auto"/>
        <w:ind w:left="5" w:right="14" w:firstLine="562"/>
        <w:jc w:val="both"/>
        <w:rPr>
          <w:b/>
          <w:sz w:val="22"/>
          <w:szCs w:val="22"/>
        </w:rPr>
      </w:pPr>
      <w:r w:rsidRPr="00253B1B">
        <w:rPr>
          <w:b/>
          <w:sz w:val="22"/>
          <w:szCs w:val="22"/>
        </w:rPr>
        <w:t>γ) Διαγραφή</w:t>
      </w:r>
    </w:p>
    <w:p w:rsidR="00C74D88" w:rsidRPr="00253B1B" w:rsidRDefault="00C74D88" w:rsidP="00B82D0D">
      <w:pPr>
        <w:shd w:val="clear" w:color="auto" w:fill="FFFFFF"/>
        <w:spacing w:after="200" w:line="276" w:lineRule="auto"/>
        <w:ind w:left="5" w:right="14" w:firstLine="562"/>
        <w:jc w:val="both"/>
        <w:rPr>
          <w:sz w:val="22"/>
          <w:szCs w:val="22"/>
        </w:rPr>
      </w:pPr>
      <w:r w:rsidRPr="00253B1B">
        <w:rPr>
          <w:sz w:val="22"/>
          <w:szCs w:val="22"/>
        </w:rPr>
        <w:t xml:space="preserve">Τα ενσώματα πάγια </w:t>
      </w:r>
      <w:r w:rsidR="00942BB3" w:rsidRPr="00253B1B">
        <w:rPr>
          <w:sz w:val="22"/>
          <w:szCs w:val="22"/>
        </w:rPr>
        <w:t xml:space="preserve">στοιχεία </w:t>
      </w:r>
      <w:r w:rsidRPr="00253B1B">
        <w:rPr>
          <w:sz w:val="22"/>
          <w:szCs w:val="22"/>
        </w:rPr>
        <w:t xml:space="preserve">διαγράφονται κατά την πώλησή τους ή αν η Εταιρεία δεν αναμένει μελλοντικά οικονομικά οφέλη από τη χρησιμοποίησή τους ή την πώλησή τους. </w:t>
      </w:r>
    </w:p>
    <w:p w:rsidR="00503C91" w:rsidRPr="00253B1B" w:rsidRDefault="003F2BDF" w:rsidP="00B82D0D">
      <w:pPr>
        <w:shd w:val="clear" w:color="auto" w:fill="FFFFFF"/>
        <w:spacing w:after="200" w:line="276" w:lineRule="auto"/>
        <w:ind w:left="5" w:right="14" w:hanging="5"/>
        <w:jc w:val="both"/>
        <w:rPr>
          <w:b/>
          <w:sz w:val="22"/>
          <w:szCs w:val="22"/>
        </w:rPr>
      </w:pPr>
      <w:r w:rsidRPr="00253B1B">
        <w:rPr>
          <w:b/>
          <w:sz w:val="22"/>
          <w:szCs w:val="22"/>
        </w:rPr>
        <w:t xml:space="preserve">3.1.2. </w:t>
      </w:r>
      <w:r w:rsidR="00503C91" w:rsidRPr="00253B1B">
        <w:rPr>
          <w:b/>
          <w:sz w:val="22"/>
          <w:szCs w:val="22"/>
        </w:rPr>
        <w:t xml:space="preserve">Άυλα πάγια περιουσιακά στοιχεία </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Τα άυλα πάγια περιουσιακά στοιχεία περιλαμβάνουν άδειες – παραχωρήσεις - δικαιώματα, λογισμικά προγράμματα, εμπορικές επωνυμίες και εμπορικά σήματα. </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Η αξία των αδειών – παραχωρήσεων - δικαιωμάτων περιλαμβάνει το κόστος κτήσεως των εν λόγω στοιχείων,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απομειώσεων της αξίας τους.</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απομειώσεων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Η απόσβεση των αδειών – παραχωρήσεων – δικαιωμάτων - σημάτων λογίζεται βάσει της σταθερής μεθόδου αποσβέσεως εντός της περιόδου ισχύος τους. Η απόσβεση των λογισμικών προγραμμάτων λογίζεται βάσει της σταθερής μεθόδου αποσβέσεως σε 3 – 6 έτη. </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Η απόσβεση όλων των ανωτέρω στοιχείων περιλαμβάνεται στην κατάσταση αποτελεσμάτων.</w:t>
      </w:r>
    </w:p>
    <w:p w:rsidR="00FF2F42" w:rsidRPr="00253B1B" w:rsidRDefault="00476D3C" w:rsidP="00B82D0D">
      <w:pPr>
        <w:shd w:val="clear" w:color="auto" w:fill="FFFFFF"/>
        <w:spacing w:after="200" w:line="276" w:lineRule="auto"/>
        <w:ind w:left="5" w:right="14" w:hanging="5"/>
        <w:jc w:val="both"/>
        <w:rPr>
          <w:b/>
          <w:sz w:val="22"/>
          <w:szCs w:val="22"/>
        </w:rPr>
      </w:pPr>
      <w:r w:rsidRPr="00253B1B">
        <w:rPr>
          <w:b/>
          <w:sz w:val="22"/>
          <w:szCs w:val="22"/>
        </w:rPr>
        <w:t>3.1.</w:t>
      </w:r>
      <w:r w:rsidR="00377285" w:rsidRPr="00253B1B">
        <w:rPr>
          <w:b/>
          <w:sz w:val="22"/>
          <w:szCs w:val="22"/>
        </w:rPr>
        <w:t>3</w:t>
      </w:r>
      <w:r w:rsidR="00FF2F42" w:rsidRPr="00253B1B">
        <w:rPr>
          <w:b/>
          <w:sz w:val="22"/>
          <w:szCs w:val="22"/>
        </w:rPr>
        <w:t>. Χρηματοοικονομικά περιουσιακά στοιχεία</w:t>
      </w:r>
    </w:p>
    <w:p w:rsidR="007135DF" w:rsidRPr="00253B1B" w:rsidRDefault="007135DF" w:rsidP="00B82D0D">
      <w:pPr>
        <w:shd w:val="clear" w:color="auto" w:fill="FFFFFF"/>
        <w:spacing w:after="200" w:line="276" w:lineRule="auto"/>
        <w:ind w:left="5" w:right="14" w:hanging="5"/>
        <w:jc w:val="both"/>
        <w:rPr>
          <w:b/>
          <w:sz w:val="22"/>
          <w:szCs w:val="22"/>
        </w:rPr>
      </w:pPr>
      <w:r w:rsidRPr="00253B1B">
        <w:rPr>
          <w:b/>
          <w:sz w:val="22"/>
          <w:szCs w:val="22"/>
        </w:rPr>
        <w:t>3.1.3.1. Συμμετοχές</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Οι συμμετοχές παρακολουθούνται στο κόστος κτήσεως υποκείμενες σε έλεγχο απομειώσεως της αξίας τους όταν υπάρχουν ενδείξεις ή γεγονότα που υποδεικνύουν ότι η λογιστική αξία τους ενδέχεται να μην είναι ανακτήσιμη. Ζημίες απομειώσεως καταχωρίζονται όταν η λογιστική αξία των συμμετοχών υπερβαίνει την ανακτήσιμη αξία τους. Ως ανακτήσιμη αξία θεωρείται η αξία χρήσεως που είναι η παρούσα αξία των αναμενόμενων μελλοντικών χρηματοροών από την συμμετοχή, στην επόμενη πενταετία και της υπολειμματικής της αξίας στο τέλος της πενταετίας.</w:t>
      </w:r>
    </w:p>
    <w:p w:rsidR="007135DF" w:rsidRPr="00253B1B" w:rsidRDefault="007135DF" w:rsidP="00B82D0D">
      <w:pPr>
        <w:shd w:val="clear" w:color="auto" w:fill="FFFFFF"/>
        <w:spacing w:after="200" w:line="276" w:lineRule="auto"/>
        <w:ind w:left="5" w:right="14" w:hanging="5"/>
        <w:jc w:val="both"/>
        <w:rPr>
          <w:b/>
          <w:sz w:val="22"/>
          <w:szCs w:val="22"/>
        </w:rPr>
      </w:pPr>
      <w:r w:rsidRPr="00253B1B">
        <w:rPr>
          <w:b/>
          <w:sz w:val="22"/>
          <w:szCs w:val="22"/>
        </w:rPr>
        <w:t>3.1.3.2. Λοιπά χρηματοοικονομικά περιουσιακά στοιχεία</w:t>
      </w:r>
    </w:p>
    <w:p w:rsidR="007762B5" w:rsidRPr="00253B1B" w:rsidRDefault="007762B5" w:rsidP="007762B5">
      <w:pPr>
        <w:shd w:val="clear" w:color="auto" w:fill="FFFFFF"/>
        <w:spacing w:after="200" w:line="276" w:lineRule="auto"/>
        <w:ind w:left="5" w:right="14" w:firstLine="562"/>
        <w:jc w:val="both"/>
        <w:rPr>
          <w:b/>
          <w:sz w:val="22"/>
          <w:szCs w:val="22"/>
        </w:rPr>
      </w:pPr>
      <w:r w:rsidRPr="00253B1B">
        <w:rPr>
          <w:b/>
          <w:sz w:val="22"/>
          <w:szCs w:val="22"/>
        </w:rPr>
        <w:t>α) Αρχική καταχώριση</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rsidR="007762B5" w:rsidRPr="00253B1B" w:rsidRDefault="007762B5" w:rsidP="007762B5">
      <w:pPr>
        <w:shd w:val="clear" w:color="auto" w:fill="FFFFFF"/>
        <w:spacing w:after="200" w:line="276" w:lineRule="auto"/>
        <w:ind w:left="5" w:right="14" w:firstLine="562"/>
        <w:jc w:val="both"/>
        <w:rPr>
          <w:b/>
          <w:sz w:val="22"/>
          <w:szCs w:val="22"/>
        </w:rPr>
      </w:pPr>
      <w:r w:rsidRPr="00253B1B">
        <w:rPr>
          <w:b/>
          <w:sz w:val="22"/>
          <w:szCs w:val="22"/>
        </w:rPr>
        <w:t>β) Μεταγενέστερη αποτίμηση</w:t>
      </w:r>
    </w:p>
    <w:p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Μεταγενέστερα της αρχικής καταχωρίσεως, τα χρηματοοικονομικά περιουσιακά στοιχεία αποτιμούνται στο κόστος κτήσεώς τους (ονομαστικά ποσά) μείον τυχόν ζημίες απομειώσεως, εκτός από τα έντοκα </w:t>
      </w:r>
      <w:r w:rsidRPr="00253B1B">
        <w:rPr>
          <w:sz w:val="22"/>
          <w:szCs w:val="22"/>
        </w:rPr>
        <w:lastRenderedPageBreak/>
        <w:t xml:space="preserve">χρηματοοικονομικά περιουσιακά στοιχεία, τα οποία, όταν τα ποσά, ο χρόνος λήξεώς τους ή το επιτόκιο είναι σημαντικά, αποτιμούνται στο αποσβέσιμο κόστος με τη μέθοδο του πραγματικού επιτοκίου (ή με τη σταθερή μέθοδο).  </w:t>
      </w:r>
    </w:p>
    <w:p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Ζημία απομειώσεως προκύπτει όταν η λογιστική αξία του στοιχείου είναι μεγαλύτερη από το ποσό που η οντότητα εκτιμά ότι θα ανακτήσει από το στοιχείο αυτό.</w:t>
      </w:r>
    </w:p>
    <w:p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﻿Το ποσό που η οντότητα εκτιμά ότι θα ανακτήσει από ένα χρηματοοικονομικό περιουσιακό στοιχείο είναι το μεγαλύτερο από:</w:t>
      </w:r>
    </w:p>
    <w:p w:rsidR="007762B5" w:rsidRPr="00253B1B" w:rsidRDefault="007762B5" w:rsidP="003506D2">
      <w:pPr>
        <w:numPr>
          <w:ilvl w:val="0"/>
          <w:numId w:val="2"/>
        </w:numPr>
        <w:shd w:val="clear" w:color="auto" w:fill="FFFFFF"/>
        <w:spacing w:after="200" w:line="252" w:lineRule="auto"/>
        <w:ind w:left="993" w:right="14" w:hanging="426"/>
        <w:jc w:val="both"/>
        <w:rPr>
          <w:sz w:val="22"/>
          <w:szCs w:val="22"/>
        </w:rPr>
      </w:pPr>
      <w:r w:rsidRPr="00253B1B">
        <w:rPr>
          <w:sz w:val="22"/>
          <w:szCs w:val="22"/>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rsidR="007762B5" w:rsidRPr="00253B1B" w:rsidRDefault="007762B5" w:rsidP="003506D2">
      <w:pPr>
        <w:numPr>
          <w:ilvl w:val="0"/>
          <w:numId w:val="2"/>
        </w:numPr>
        <w:shd w:val="clear" w:color="auto" w:fill="FFFFFF"/>
        <w:spacing w:after="200" w:line="252" w:lineRule="auto"/>
        <w:ind w:left="993" w:right="14" w:hanging="426"/>
        <w:jc w:val="both"/>
        <w:rPr>
          <w:sz w:val="22"/>
          <w:szCs w:val="22"/>
        </w:rPr>
      </w:pPr>
      <w:r w:rsidRPr="00253B1B">
        <w:rPr>
          <w:sz w:val="22"/>
          <w:szCs w:val="22"/>
        </w:rPr>
        <w:t>Την εύλογη αξία του στοιχείου, μειωμένη με το απαιτούμενο κόστος πωλήσεως.</w:t>
      </w:r>
    </w:p>
    <w:p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 xml:space="preserve">﻿Οι ζημίες απομειώσεως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απομειώσεως. </w:t>
      </w:r>
    </w:p>
    <w:p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 xml:space="preserve">Τα δάνεια και οι απαιτήσεις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rsidR="007762B5" w:rsidRPr="00253B1B" w:rsidRDefault="007762B5" w:rsidP="003506D2">
      <w:pPr>
        <w:shd w:val="clear" w:color="auto" w:fill="FFFFFF"/>
        <w:spacing w:after="160" w:line="252" w:lineRule="auto"/>
        <w:ind w:left="5" w:right="11" w:firstLine="562"/>
        <w:jc w:val="both"/>
        <w:rPr>
          <w:b/>
          <w:sz w:val="22"/>
          <w:szCs w:val="22"/>
        </w:rPr>
      </w:pPr>
      <w:r w:rsidRPr="00253B1B">
        <w:rPr>
          <w:b/>
          <w:sz w:val="22"/>
          <w:szCs w:val="22"/>
        </w:rPr>
        <w:t>γ) Διαγραφή</w:t>
      </w:r>
    </w:p>
    <w:p w:rsidR="007762B5" w:rsidRPr="00253B1B" w:rsidRDefault="007762B5" w:rsidP="003506D2">
      <w:pPr>
        <w:shd w:val="clear" w:color="auto" w:fill="FFFFFF"/>
        <w:spacing w:after="160" w:line="252" w:lineRule="auto"/>
        <w:ind w:left="5" w:right="11" w:firstLine="562"/>
        <w:jc w:val="both"/>
        <w:rPr>
          <w:sz w:val="22"/>
          <w:szCs w:val="22"/>
        </w:rPr>
      </w:pPr>
      <w:r w:rsidRPr="00253B1B">
        <w:rPr>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rsidR="006B570B" w:rsidRPr="00253B1B" w:rsidRDefault="006B570B" w:rsidP="003506D2">
      <w:pPr>
        <w:shd w:val="clear" w:color="auto" w:fill="FFFFFF"/>
        <w:spacing w:after="160" w:line="252" w:lineRule="auto"/>
        <w:ind w:left="5" w:right="11" w:hanging="5"/>
        <w:jc w:val="both"/>
        <w:rPr>
          <w:b/>
          <w:sz w:val="22"/>
          <w:szCs w:val="22"/>
        </w:rPr>
      </w:pPr>
      <w:r w:rsidRPr="00253B1B">
        <w:rPr>
          <w:b/>
          <w:sz w:val="22"/>
          <w:szCs w:val="22"/>
        </w:rPr>
        <w:t>3.1.4. Φόροι εισοδήματος</w:t>
      </w:r>
    </w:p>
    <w:p w:rsidR="006B570B" w:rsidRPr="00253B1B" w:rsidRDefault="006B570B" w:rsidP="003506D2">
      <w:pPr>
        <w:shd w:val="clear" w:color="auto" w:fill="FFFFFF"/>
        <w:spacing w:after="160" w:line="252" w:lineRule="auto"/>
        <w:ind w:left="5" w:right="11" w:hanging="5"/>
        <w:jc w:val="both"/>
        <w:rPr>
          <w:b/>
          <w:sz w:val="22"/>
          <w:szCs w:val="22"/>
        </w:rPr>
      </w:pPr>
      <w:r w:rsidRPr="00253B1B">
        <w:rPr>
          <w:b/>
          <w:sz w:val="22"/>
          <w:szCs w:val="22"/>
        </w:rPr>
        <w:t>3.1.4.1. Τρέχων φόρος</w:t>
      </w:r>
    </w:p>
    <w:p w:rsidR="001C7C16" w:rsidRPr="00253B1B" w:rsidRDefault="001C7C16" w:rsidP="003506D2">
      <w:pPr>
        <w:shd w:val="clear" w:color="auto" w:fill="FFFFFF"/>
        <w:spacing w:after="160" w:line="252" w:lineRule="auto"/>
        <w:ind w:left="5" w:right="11" w:firstLine="562"/>
        <w:jc w:val="both"/>
        <w:rPr>
          <w:sz w:val="22"/>
          <w:szCs w:val="22"/>
        </w:rPr>
      </w:pPr>
      <w:r w:rsidRPr="00253B1B">
        <w:rPr>
          <w:sz w:val="22"/>
          <w:szCs w:val="22"/>
        </w:rPr>
        <w:t>Ο τρέχων φόρος εισοδήματος περιλαμβάνει:</w:t>
      </w:r>
    </w:p>
    <w:p w:rsidR="001C7C16" w:rsidRPr="00253B1B" w:rsidRDefault="001C7C16" w:rsidP="003506D2">
      <w:pPr>
        <w:numPr>
          <w:ilvl w:val="0"/>
          <w:numId w:val="1"/>
        </w:numPr>
        <w:shd w:val="clear" w:color="auto" w:fill="FFFFFF"/>
        <w:spacing w:after="160" w:line="252" w:lineRule="auto"/>
        <w:ind w:left="993" w:right="11" w:hanging="426"/>
        <w:jc w:val="both"/>
        <w:rPr>
          <w:sz w:val="22"/>
          <w:szCs w:val="22"/>
        </w:rPr>
      </w:pPr>
      <w:r w:rsidRPr="00253B1B">
        <w:rPr>
          <w:sz w:val="22"/>
          <w:szCs w:val="22"/>
        </w:rPr>
        <w:t>Τον φόρο εισοδήματος που προκύπτει με βάση τις διατάξεις της εκάστοτε ισχύουσας φορολογικής νομοθεσίας.</w:t>
      </w:r>
    </w:p>
    <w:p w:rsidR="001C7C16" w:rsidRPr="00253B1B" w:rsidRDefault="001C7C16" w:rsidP="003506D2">
      <w:pPr>
        <w:numPr>
          <w:ilvl w:val="0"/>
          <w:numId w:val="1"/>
        </w:numPr>
        <w:shd w:val="clear" w:color="auto" w:fill="FFFFFF"/>
        <w:spacing w:after="160" w:line="252" w:lineRule="auto"/>
        <w:ind w:left="993" w:right="11" w:hanging="426"/>
        <w:jc w:val="both"/>
        <w:rPr>
          <w:sz w:val="22"/>
          <w:szCs w:val="22"/>
        </w:rPr>
      </w:pPr>
      <w:r w:rsidRPr="00253B1B">
        <w:rPr>
          <w:sz w:val="22"/>
          <w:szCs w:val="22"/>
        </w:rPr>
        <w:t xml:space="preserve">Τον φόρο εισοδήματος και τις προσαυξήσεις που προκύπτουν από τον φορολογικό έλεγχο. </w:t>
      </w:r>
    </w:p>
    <w:p w:rsidR="001C7C16" w:rsidRPr="00253B1B" w:rsidRDefault="001C7C16" w:rsidP="003506D2">
      <w:pPr>
        <w:shd w:val="clear" w:color="auto" w:fill="FFFFFF"/>
        <w:spacing w:after="160" w:line="252" w:lineRule="auto"/>
        <w:ind w:left="993" w:right="11"/>
        <w:jc w:val="both"/>
        <w:rPr>
          <w:sz w:val="22"/>
          <w:szCs w:val="22"/>
        </w:rPr>
      </w:pPr>
      <w:r w:rsidRPr="00253B1B">
        <w:rPr>
          <w:sz w:val="22"/>
          <w:szCs w:val="22"/>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την Εταιρεία.</w:t>
      </w:r>
    </w:p>
    <w:p w:rsidR="006D1CE9" w:rsidRPr="00253B1B" w:rsidRDefault="006D1CE9" w:rsidP="003506D2">
      <w:pPr>
        <w:shd w:val="clear" w:color="auto" w:fill="FFFFFF"/>
        <w:spacing w:after="160" w:line="252" w:lineRule="auto"/>
        <w:ind w:right="11"/>
        <w:jc w:val="both"/>
        <w:rPr>
          <w:b/>
          <w:sz w:val="22"/>
          <w:szCs w:val="22"/>
        </w:rPr>
      </w:pPr>
      <w:r w:rsidRPr="00253B1B">
        <w:rPr>
          <w:b/>
          <w:sz w:val="22"/>
          <w:szCs w:val="22"/>
        </w:rPr>
        <w:t>3.1.4.2. Αναβαλλόμενοι φόροι</w:t>
      </w:r>
    </w:p>
    <w:p w:rsidR="006D1CE9" w:rsidRPr="00253B1B" w:rsidRDefault="006D1CE9" w:rsidP="003506D2">
      <w:pPr>
        <w:shd w:val="clear" w:color="auto" w:fill="FFFFFF"/>
        <w:spacing w:after="200" w:line="252" w:lineRule="auto"/>
        <w:ind w:left="5" w:right="14" w:firstLine="562"/>
        <w:jc w:val="both"/>
        <w:rPr>
          <w:rStyle w:val="FontStyle60"/>
        </w:rPr>
      </w:pPr>
      <w:r w:rsidRPr="00253B1B">
        <w:rPr>
          <w:rStyle w:val="FontStyle60"/>
        </w:rPr>
        <w:t xml:space="preserve">Αναβαλλόμενοι φόροι προκύπτουν όταν υπάρχουν προσωρινές (αναστρέψιμες) διαφορές μεταξύ λογιστικής αξίας και φορολογικής βάσεως στοιχείων του ισολογισμού. </w:t>
      </w:r>
    </w:p>
    <w:p w:rsidR="006D1CE9" w:rsidRPr="00253B1B" w:rsidRDefault="006D1CE9" w:rsidP="003506D2">
      <w:pPr>
        <w:shd w:val="clear" w:color="auto" w:fill="FFFFFF"/>
        <w:spacing w:after="200" w:line="252" w:lineRule="auto"/>
        <w:ind w:left="5" w:right="14" w:firstLine="562"/>
        <w:jc w:val="both"/>
        <w:rPr>
          <w:sz w:val="22"/>
          <w:szCs w:val="22"/>
        </w:rPr>
      </w:pPr>
      <w:r w:rsidRPr="00253B1B">
        <w:rPr>
          <w:sz w:val="22"/>
          <w:szCs w:val="22"/>
        </w:rPr>
        <w:t>Η εταιρεία δεν έχει επιλέξει την καταχώριση αναβαλλόμενων φόρων.</w:t>
      </w:r>
    </w:p>
    <w:p w:rsidR="00377285" w:rsidRPr="00253B1B" w:rsidRDefault="00377285" w:rsidP="003506D2">
      <w:pPr>
        <w:shd w:val="clear" w:color="auto" w:fill="FFFFFF"/>
        <w:spacing w:after="200" w:line="252" w:lineRule="auto"/>
        <w:ind w:left="5" w:right="14" w:hanging="5"/>
        <w:jc w:val="both"/>
        <w:rPr>
          <w:b/>
          <w:sz w:val="22"/>
          <w:szCs w:val="22"/>
        </w:rPr>
      </w:pPr>
      <w:r w:rsidRPr="00253B1B">
        <w:rPr>
          <w:b/>
          <w:sz w:val="22"/>
          <w:szCs w:val="22"/>
        </w:rPr>
        <w:t>3.1.5. Αποθέματα</w:t>
      </w:r>
    </w:p>
    <w:p w:rsidR="006D1CE9" w:rsidRPr="00253B1B" w:rsidRDefault="006D1CE9" w:rsidP="003506D2">
      <w:pPr>
        <w:shd w:val="clear" w:color="auto" w:fill="FFFFFF"/>
        <w:spacing w:after="200" w:line="252" w:lineRule="auto"/>
        <w:ind w:left="5" w:right="14" w:firstLine="562"/>
        <w:jc w:val="both"/>
        <w:rPr>
          <w:b/>
          <w:sz w:val="22"/>
          <w:szCs w:val="22"/>
        </w:rPr>
      </w:pPr>
      <w:r w:rsidRPr="00253B1B">
        <w:rPr>
          <w:b/>
          <w:sz w:val="22"/>
          <w:szCs w:val="22"/>
        </w:rPr>
        <w:t>α) Αρχική καταχώριση</w:t>
      </w:r>
    </w:p>
    <w:p w:rsidR="006D1CE9" w:rsidRPr="00253B1B" w:rsidRDefault="006D1CE9" w:rsidP="003506D2">
      <w:pPr>
        <w:shd w:val="clear" w:color="auto" w:fill="FFFFFF"/>
        <w:spacing w:after="200" w:line="252" w:lineRule="auto"/>
        <w:ind w:left="5" w:right="14" w:firstLine="562"/>
        <w:jc w:val="both"/>
        <w:rPr>
          <w:sz w:val="22"/>
          <w:szCs w:val="22"/>
        </w:rPr>
      </w:pPr>
      <w:r w:rsidRPr="00253B1B">
        <w:rPr>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rsidR="006D1CE9" w:rsidRPr="00253B1B" w:rsidRDefault="006D1CE9" w:rsidP="003506D2">
      <w:pPr>
        <w:shd w:val="clear" w:color="auto" w:fill="FFFFFF"/>
        <w:spacing w:after="200" w:line="276" w:lineRule="auto"/>
        <w:ind w:left="5" w:right="14" w:firstLine="562"/>
        <w:jc w:val="both"/>
        <w:rPr>
          <w:sz w:val="22"/>
          <w:szCs w:val="22"/>
        </w:rPr>
      </w:pPr>
      <w:r w:rsidRPr="00253B1B">
        <w:rPr>
          <w:sz w:val="22"/>
          <w:szCs w:val="22"/>
        </w:rPr>
        <w:lastRenderedPageBreak/>
        <w:t>Ειδικότερα το κόστος των ιδιοπαραγόμενων αποθεμάτων περιλαμβάνει το κόστος πρώτων υλών, αναλώσιμων υλικών, εργασίας και άλλο κόστος που σχετίζεται άμεσα με τα εν λόγω στοιχεία. Επιπλέον περιλαμβάνει μια εύλογη αναλογία σταθερών και μεταβλητών εξόδων που σχετίζονται έμμεσα με το ιδιοπαραγόμενο στοιχείο, στο βαθμό που τα ποσά αυτά αναφέρονται στην περίοδο παραγωγής. Η εταιρεία δεν επιβαρύνει το κόστος των ιδιοπαραγόμενων αποθεμάτων μακράς περιόδου παραγωγής ή ωριμάνσεως με τόκους εντόκων υποχρεώσεων.</w:t>
      </w:r>
    </w:p>
    <w:p w:rsidR="006D1CE9" w:rsidRPr="00253B1B" w:rsidRDefault="006D1CE9" w:rsidP="003506D2">
      <w:pPr>
        <w:shd w:val="clear" w:color="auto" w:fill="FFFFFF"/>
        <w:spacing w:after="200" w:line="276" w:lineRule="auto"/>
        <w:ind w:left="5" w:right="14" w:firstLine="562"/>
        <w:jc w:val="both"/>
        <w:rPr>
          <w:b/>
          <w:sz w:val="22"/>
          <w:szCs w:val="22"/>
        </w:rPr>
      </w:pPr>
      <w:r w:rsidRPr="00253B1B">
        <w:rPr>
          <w:b/>
          <w:sz w:val="22"/>
          <w:szCs w:val="22"/>
        </w:rPr>
        <w:t>β) Μεταγενέστερη αποτίμηση</w:t>
      </w:r>
    </w:p>
    <w:p w:rsidR="006D1CE9" w:rsidRPr="00253B1B" w:rsidRDefault="006D1CE9" w:rsidP="003506D2">
      <w:pPr>
        <w:shd w:val="clear" w:color="auto" w:fill="FFFFFF"/>
        <w:spacing w:after="200" w:line="276" w:lineRule="auto"/>
        <w:ind w:left="5" w:right="14" w:firstLine="562"/>
        <w:jc w:val="both"/>
        <w:rPr>
          <w:sz w:val="22"/>
          <w:szCs w:val="22"/>
        </w:rPr>
      </w:pPr>
      <w:r w:rsidRPr="00253B1B">
        <w:rPr>
          <w:sz w:val="22"/>
          <w:szCs w:val="22"/>
        </w:rPr>
        <w:t>Μεταγενέστερα της αρχικής καταχωρίσεως, τα αποθέματα αποτιμούνται στην κατ' είδος χαμηλότερη τιμή μεταξύ του κόστους κτήσεως και της καθαρής ρευστοποιήσιμης αξίας τους. Το κόστος κτήσεως προσδιορίζεται με τη μέθοδο της μέσης σταθμικής τιμής. Στην περίπτωση αποτιμήσεως στην καθαρή ρευστοποιήσιμη αξία, η ζημία απομειώσεως καταχωρίζεται ως κόστος πωληθέντων, εκτός αν είναι σημαντική, οπότε ενσωματώνεται στο κονδύλι «απομειώσεις περιουσιακών στοιχείων».</w:t>
      </w:r>
    </w:p>
    <w:p w:rsidR="00FF2F42" w:rsidRPr="00253B1B" w:rsidRDefault="00713F0B" w:rsidP="003506D2">
      <w:pPr>
        <w:shd w:val="clear" w:color="auto" w:fill="FFFFFF"/>
        <w:spacing w:after="200" w:line="276" w:lineRule="auto"/>
        <w:ind w:left="5" w:right="14" w:hanging="5"/>
        <w:jc w:val="both"/>
        <w:rPr>
          <w:b/>
          <w:sz w:val="22"/>
          <w:szCs w:val="22"/>
        </w:rPr>
      </w:pPr>
      <w:r w:rsidRPr="00253B1B">
        <w:rPr>
          <w:b/>
          <w:sz w:val="22"/>
          <w:szCs w:val="22"/>
        </w:rPr>
        <w:t>3.1.</w:t>
      </w:r>
      <w:r w:rsidR="00FF52A7" w:rsidRPr="00253B1B">
        <w:rPr>
          <w:b/>
          <w:sz w:val="22"/>
          <w:szCs w:val="22"/>
        </w:rPr>
        <w:t>6</w:t>
      </w:r>
      <w:r w:rsidR="00FF2F42" w:rsidRPr="00253B1B">
        <w:rPr>
          <w:b/>
          <w:sz w:val="22"/>
          <w:szCs w:val="22"/>
        </w:rPr>
        <w:t>. Προκαταβολές και λοιπά μη χρηματοοικονομικά περιουσιακά στοιχεία</w:t>
      </w:r>
    </w:p>
    <w:p w:rsidR="00F808D4" w:rsidRPr="00253B1B" w:rsidRDefault="00F808D4" w:rsidP="003506D2">
      <w:pPr>
        <w:shd w:val="clear" w:color="auto" w:fill="FFFFFF"/>
        <w:spacing w:after="200" w:line="276" w:lineRule="auto"/>
        <w:ind w:left="5" w:right="14" w:firstLine="562"/>
        <w:jc w:val="both"/>
        <w:rPr>
          <w:sz w:val="22"/>
          <w:szCs w:val="22"/>
        </w:rPr>
      </w:pPr>
      <w:r w:rsidRPr="00253B1B">
        <w:rPr>
          <w:sz w:val="22"/>
          <w:szCs w:val="22"/>
        </w:rPr>
        <w:t>Οι προκαταβολές δαπανών καταχωρίζονται αρχικά στο κόστος κτήσεως (καταβαλλόμενα ποσά) και  αποτιμούνται μεταγενέστερα στο αρχικό κόστος κτήσεως, μείον τα χρησιμοποιηθέντα ποσά βάσει της αρχής του δουλευμένου και τυχόν ζημίες απομειώσεως. Η απομείωση των προκαταβολών δαπανών αναφέρεται στην περίπτωση στην οποία ο λήπτης του σχετικού ποσού δεν είναι σε θέση ούτε να εκπληρώσει την δέσμευση που ανέλαβε ούτε να επιστρέψει το υπόλοιπο του ποσού.</w:t>
      </w:r>
    </w:p>
    <w:p w:rsidR="00F808D4" w:rsidRPr="00253B1B" w:rsidRDefault="00F808D4" w:rsidP="003506D2">
      <w:pPr>
        <w:shd w:val="clear" w:color="auto" w:fill="FFFFFF"/>
        <w:spacing w:after="200" w:line="276" w:lineRule="auto"/>
        <w:ind w:left="5" w:right="14" w:firstLine="562"/>
        <w:jc w:val="both"/>
        <w:rPr>
          <w:sz w:val="22"/>
          <w:szCs w:val="22"/>
        </w:rPr>
      </w:pPr>
      <w:r w:rsidRPr="00253B1B">
        <w:rPr>
          <w:sz w:val="22"/>
          <w:szCs w:val="22"/>
        </w:rPr>
        <w:t>﻿Τα λοιπά μη χρηματοοικονομικά περιουσιακά στοιχεία καταχωρίζονται αρχικά στο κόστος κτήσεως και αποτιμούνται μεταγενέστερα στη χαμηλότερη αξία μεταξύ κόστους κτήσεως και ανακτήσιμης αξίας, δηλαδή του ποσού που αναμένεται να ληφθεί.</w:t>
      </w:r>
    </w:p>
    <w:p w:rsidR="00FF2F42" w:rsidRPr="00253B1B" w:rsidRDefault="00713F0B" w:rsidP="003506D2">
      <w:pPr>
        <w:shd w:val="clear" w:color="auto" w:fill="FFFFFF"/>
        <w:spacing w:after="200" w:line="276" w:lineRule="auto"/>
        <w:ind w:left="5" w:right="14" w:hanging="5"/>
        <w:jc w:val="both"/>
        <w:rPr>
          <w:b/>
          <w:sz w:val="22"/>
          <w:szCs w:val="22"/>
        </w:rPr>
      </w:pPr>
      <w:r w:rsidRPr="00253B1B">
        <w:rPr>
          <w:b/>
          <w:sz w:val="22"/>
          <w:szCs w:val="22"/>
        </w:rPr>
        <w:t>3.1.</w:t>
      </w:r>
      <w:r w:rsidR="0048530C" w:rsidRPr="00253B1B">
        <w:rPr>
          <w:b/>
          <w:sz w:val="22"/>
          <w:szCs w:val="22"/>
        </w:rPr>
        <w:t>7</w:t>
      </w:r>
      <w:r w:rsidR="00FF2F42" w:rsidRPr="00253B1B">
        <w:rPr>
          <w:b/>
          <w:sz w:val="22"/>
          <w:szCs w:val="22"/>
        </w:rPr>
        <w:t>. Χρηματοοικονομικές υποχρεώσεις</w:t>
      </w:r>
    </w:p>
    <w:p w:rsidR="00004189" w:rsidRPr="00253B1B" w:rsidRDefault="00004189" w:rsidP="003506D2">
      <w:pPr>
        <w:shd w:val="clear" w:color="auto" w:fill="FFFFFF"/>
        <w:spacing w:after="200" w:line="276" w:lineRule="auto"/>
        <w:ind w:left="5" w:right="14" w:firstLine="562"/>
        <w:jc w:val="both"/>
        <w:rPr>
          <w:b/>
          <w:sz w:val="22"/>
          <w:szCs w:val="22"/>
        </w:rPr>
      </w:pPr>
      <w:r w:rsidRPr="00253B1B">
        <w:rPr>
          <w:b/>
          <w:sz w:val="22"/>
          <w:szCs w:val="22"/>
        </w:rPr>
        <w:t>α) Αρχική καταχώριση και μεταγενέστερη αποτίμηση</w:t>
      </w:r>
    </w:p>
    <w:p w:rsidR="00004189" w:rsidRPr="00253B1B" w:rsidRDefault="00004189" w:rsidP="003506D2">
      <w:pPr>
        <w:shd w:val="clear" w:color="auto" w:fill="FFFFFF"/>
        <w:spacing w:after="200" w:line="276" w:lineRule="auto"/>
        <w:ind w:left="5" w:right="14" w:firstLine="562"/>
        <w:jc w:val="both"/>
        <w:rPr>
          <w:sz w:val="22"/>
          <w:szCs w:val="22"/>
        </w:rPr>
      </w:pPr>
      <w:r w:rsidRPr="00253B1B">
        <w:rPr>
          <w:sz w:val="22"/>
          <w:szCs w:val="22"/>
        </w:rPr>
        <w:t>Οι χρηματοοικονομικές υποχρεώσεις, τόσο κατά την αρχική καταχώριση, όσο και μεταγενέστερα, αποτιμούνται στα ονομαστικά ποσά τους, εκτός από τις μακροπρόθεσμης λήξεως, οι οποίες αποτιμούνται στο αποσβέσιμο κόστος με τη με τη σταθερή μέθοδο. Οι χρηματοοικονομικές υποχρεώσεις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w:t>
      </w:r>
    </w:p>
    <w:p w:rsidR="00004189" w:rsidRPr="00253B1B" w:rsidRDefault="00004189" w:rsidP="003506D2">
      <w:pPr>
        <w:shd w:val="clear" w:color="auto" w:fill="FFFFFF"/>
        <w:spacing w:after="200" w:line="276" w:lineRule="auto"/>
        <w:ind w:left="5" w:right="14" w:firstLine="562"/>
        <w:jc w:val="both"/>
        <w:rPr>
          <w:b/>
          <w:sz w:val="22"/>
          <w:szCs w:val="22"/>
        </w:rPr>
      </w:pPr>
      <w:r w:rsidRPr="00253B1B">
        <w:rPr>
          <w:b/>
          <w:sz w:val="22"/>
          <w:szCs w:val="22"/>
        </w:rPr>
        <w:t>β) Διαγραφή</w:t>
      </w:r>
    </w:p>
    <w:p w:rsidR="00004189" w:rsidRPr="00253B1B" w:rsidRDefault="00004189" w:rsidP="003506D2">
      <w:pPr>
        <w:shd w:val="clear" w:color="auto" w:fill="FFFFFF"/>
        <w:spacing w:after="200" w:line="276" w:lineRule="auto"/>
        <w:ind w:left="5" w:right="14" w:firstLine="562"/>
        <w:jc w:val="both"/>
        <w:rPr>
          <w:sz w:val="22"/>
          <w:szCs w:val="22"/>
        </w:rPr>
      </w:pPr>
      <w:r w:rsidRPr="00253B1B">
        <w:rPr>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AB767D" w:rsidRPr="00253B1B" w:rsidRDefault="00AB767D" w:rsidP="003506D2">
      <w:pPr>
        <w:shd w:val="clear" w:color="auto" w:fill="FFFFFF"/>
        <w:spacing w:after="200" w:line="276" w:lineRule="auto"/>
        <w:ind w:left="5" w:right="14" w:hanging="5"/>
        <w:jc w:val="both"/>
        <w:rPr>
          <w:b/>
          <w:sz w:val="22"/>
          <w:szCs w:val="22"/>
        </w:rPr>
      </w:pPr>
      <w:r w:rsidRPr="00253B1B">
        <w:rPr>
          <w:b/>
          <w:sz w:val="22"/>
          <w:szCs w:val="22"/>
        </w:rPr>
        <w:t>3.1.8. Μη χρηματοοικονομικές υποχρεώσεις</w:t>
      </w:r>
    </w:p>
    <w:p w:rsidR="00EE246B" w:rsidRPr="00253B1B" w:rsidRDefault="00EE246B" w:rsidP="003506D2">
      <w:pPr>
        <w:shd w:val="clear" w:color="auto" w:fill="FFFFFF"/>
        <w:spacing w:after="200" w:line="276" w:lineRule="auto"/>
        <w:ind w:left="5" w:right="14" w:firstLine="562"/>
        <w:jc w:val="both"/>
        <w:rPr>
          <w:b/>
          <w:sz w:val="22"/>
          <w:szCs w:val="22"/>
        </w:rPr>
      </w:pPr>
      <w:r w:rsidRPr="00253B1B">
        <w:rPr>
          <w:b/>
          <w:sz w:val="22"/>
          <w:szCs w:val="22"/>
        </w:rPr>
        <w:t>α) Αρχική καταχώριση και μεταγενέστερη αποτίμηση</w:t>
      </w:r>
    </w:p>
    <w:p w:rsidR="00EE246B" w:rsidRPr="00253B1B" w:rsidRDefault="00EE246B" w:rsidP="003506D2">
      <w:pPr>
        <w:shd w:val="clear" w:color="auto" w:fill="FFFFFF"/>
        <w:spacing w:after="200" w:line="276" w:lineRule="auto"/>
        <w:ind w:left="5" w:right="14" w:firstLine="562"/>
        <w:jc w:val="both"/>
        <w:rPr>
          <w:sz w:val="22"/>
          <w:szCs w:val="22"/>
        </w:rPr>
      </w:pPr>
      <w:r w:rsidRPr="00253B1B">
        <w:rPr>
          <w:sz w:val="22"/>
          <w:szCs w:val="22"/>
        </w:rPr>
        <w:t xml:space="preserve">Οι μη χρηματοοικονομικές υποχρεώσεις καταχωρίζονται αρχικά και αποτιμούνται μεταγενέστερα στο ονομαστικό ποσό που αναμένεται να απαιτηθεί για το διακανονισμό τους. Διαφορές που προκύπτουν είτε κατά την επανεκτίμησή είτε κατά το διακανονισμό των μη χρηματοοικονομικών υποχρεώσεων καταχωρίζονται ως κέρδη ή ζημίες της περιόδου στην οποία προκύπτουν. </w:t>
      </w:r>
    </w:p>
    <w:p w:rsidR="00EE246B" w:rsidRPr="00253B1B" w:rsidRDefault="00EE246B" w:rsidP="003506D2">
      <w:pPr>
        <w:shd w:val="clear" w:color="auto" w:fill="FFFFFF"/>
        <w:spacing w:after="200" w:line="276" w:lineRule="auto"/>
        <w:ind w:left="5" w:right="14" w:firstLine="562"/>
        <w:jc w:val="both"/>
        <w:rPr>
          <w:b/>
          <w:sz w:val="22"/>
          <w:szCs w:val="22"/>
        </w:rPr>
      </w:pPr>
      <w:r w:rsidRPr="00253B1B">
        <w:rPr>
          <w:b/>
          <w:sz w:val="22"/>
          <w:szCs w:val="22"/>
        </w:rPr>
        <w:lastRenderedPageBreak/>
        <w:t>β) Διαγραφή</w:t>
      </w:r>
    </w:p>
    <w:p w:rsidR="00EE246B" w:rsidRPr="00253B1B" w:rsidRDefault="00EE246B" w:rsidP="003506D2">
      <w:pPr>
        <w:shd w:val="clear" w:color="auto" w:fill="FFFFFF"/>
        <w:spacing w:after="200" w:line="276" w:lineRule="auto"/>
        <w:ind w:left="5" w:right="14" w:firstLine="562"/>
        <w:jc w:val="both"/>
        <w:rPr>
          <w:sz w:val="22"/>
          <w:szCs w:val="22"/>
        </w:rPr>
      </w:pPr>
      <w:r w:rsidRPr="00253B1B">
        <w:rPr>
          <w:sz w:val="22"/>
          <w:szCs w:val="22"/>
        </w:rPr>
        <w:t xml:space="preserve">Μια μη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AB767D" w:rsidRPr="00253B1B" w:rsidRDefault="00AB767D" w:rsidP="003506D2">
      <w:pPr>
        <w:shd w:val="clear" w:color="auto" w:fill="FFFFFF"/>
        <w:spacing w:after="200" w:line="276" w:lineRule="auto"/>
        <w:ind w:left="5" w:right="14" w:hanging="5"/>
        <w:jc w:val="both"/>
        <w:rPr>
          <w:b/>
          <w:sz w:val="22"/>
          <w:szCs w:val="22"/>
        </w:rPr>
      </w:pPr>
      <w:r w:rsidRPr="00253B1B">
        <w:rPr>
          <w:b/>
          <w:sz w:val="22"/>
          <w:szCs w:val="22"/>
        </w:rPr>
        <w:t>3.1.9. Προβλέψεις</w:t>
      </w:r>
    </w:p>
    <w:p w:rsidR="00DC73B8" w:rsidRPr="00253B1B" w:rsidRDefault="00DC73B8" w:rsidP="003506D2">
      <w:pPr>
        <w:shd w:val="clear" w:color="auto" w:fill="FFFFFF"/>
        <w:spacing w:after="200" w:line="276" w:lineRule="auto"/>
        <w:ind w:left="5" w:right="14" w:firstLine="562"/>
        <w:jc w:val="both"/>
        <w:rPr>
          <w:sz w:val="22"/>
          <w:szCs w:val="22"/>
        </w:rPr>
      </w:pPr>
      <w:r w:rsidRPr="00253B1B">
        <w:rPr>
          <w:sz w:val="22"/>
          <w:szCs w:val="22"/>
        </w:rPr>
        <w:t>Οι προβλέψεις καταχωρίζονται αρχικά και αποτιμούνται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στα ποσά των χρηματοοικονομικών καταστάσεων.</w:t>
      </w:r>
    </w:p>
    <w:p w:rsidR="00DC73B8" w:rsidRPr="00253B1B" w:rsidRDefault="00DC73B8" w:rsidP="003506D2">
      <w:pPr>
        <w:shd w:val="clear" w:color="auto" w:fill="FFFFFF"/>
        <w:spacing w:after="200" w:line="276" w:lineRule="auto"/>
        <w:ind w:left="5" w:right="14" w:firstLine="562"/>
        <w:jc w:val="both"/>
        <w:rPr>
          <w:sz w:val="22"/>
          <w:szCs w:val="22"/>
        </w:rPr>
      </w:pPr>
      <w:r w:rsidRPr="00253B1B">
        <w:rPr>
          <w:sz w:val="22"/>
          <w:szCs w:val="22"/>
        </w:rPr>
        <w:t xml:space="preserve">Ειδικότερα, οι προβλέψεις για παροχές σε εργαζομένους μετά την έξοδο από την υπηρεσία, </w:t>
      </w:r>
      <w:r w:rsidRPr="00253B1B">
        <w:rPr>
          <w:rStyle w:val="FontStyle60"/>
        </w:rPr>
        <w:t xml:space="preserve">που προκύπτουν από προγράμματα καθορισμένων παροχών, </w:t>
      </w:r>
      <w:r w:rsidRPr="00253B1B">
        <w:rPr>
          <w:sz w:val="22"/>
          <w:szCs w:val="22"/>
        </w:rPr>
        <w:t>καταχωρίζονται και αποτιμούνται στα προκύπτοντα από τη νομοθεσία ονομαστικά ποσά κατά την ημερομηνία του ισολογισμού.</w:t>
      </w:r>
    </w:p>
    <w:p w:rsidR="00FF2F42" w:rsidRPr="00253B1B" w:rsidRDefault="001C371E" w:rsidP="003506D2">
      <w:pPr>
        <w:shd w:val="clear" w:color="auto" w:fill="FFFFFF"/>
        <w:spacing w:after="200" w:line="276" w:lineRule="auto"/>
        <w:ind w:left="5" w:right="11" w:hanging="5"/>
        <w:jc w:val="both"/>
        <w:rPr>
          <w:b/>
          <w:sz w:val="22"/>
          <w:szCs w:val="22"/>
        </w:rPr>
      </w:pPr>
      <w:r w:rsidRPr="00253B1B">
        <w:rPr>
          <w:b/>
          <w:sz w:val="22"/>
          <w:szCs w:val="22"/>
        </w:rPr>
        <w:t>3.1.10</w:t>
      </w:r>
      <w:r w:rsidR="00FF2F42" w:rsidRPr="00253B1B">
        <w:rPr>
          <w:b/>
          <w:sz w:val="22"/>
          <w:szCs w:val="22"/>
        </w:rPr>
        <w:t>. Κρατικές επιχορηγήσεις</w:t>
      </w:r>
    </w:p>
    <w:p w:rsidR="006A5455" w:rsidRPr="00253B1B" w:rsidRDefault="006A5455" w:rsidP="003506D2">
      <w:pPr>
        <w:shd w:val="clear" w:color="auto" w:fill="FFFFFF"/>
        <w:spacing w:after="160" w:line="276" w:lineRule="auto"/>
        <w:ind w:left="5" w:right="11" w:firstLine="562"/>
        <w:jc w:val="both"/>
        <w:rPr>
          <w:color w:val="FF0000"/>
          <w:sz w:val="22"/>
          <w:szCs w:val="22"/>
        </w:rPr>
      </w:pPr>
      <w:r w:rsidRPr="00253B1B">
        <w:rPr>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r w:rsidR="009532FB" w:rsidRPr="00253B1B">
        <w:rPr>
          <w:sz w:val="22"/>
          <w:szCs w:val="22"/>
        </w:rPr>
        <w:t xml:space="preserve"> </w:t>
      </w:r>
    </w:p>
    <w:p w:rsidR="00FF2F42" w:rsidRPr="00253B1B" w:rsidRDefault="009E45E8" w:rsidP="003506D2">
      <w:pPr>
        <w:shd w:val="clear" w:color="auto" w:fill="FFFFFF"/>
        <w:spacing w:after="160" w:line="276" w:lineRule="auto"/>
        <w:ind w:left="5" w:right="11" w:hanging="5"/>
        <w:jc w:val="both"/>
        <w:rPr>
          <w:b/>
          <w:sz w:val="22"/>
          <w:szCs w:val="22"/>
        </w:rPr>
      </w:pPr>
      <w:r w:rsidRPr="00253B1B">
        <w:rPr>
          <w:b/>
          <w:sz w:val="22"/>
          <w:szCs w:val="22"/>
        </w:rPr>
        <w:t>3.1.11</w:t>
      </w:r>
      <w:r w:rsidR="00FF2F42" w:rsidRPr="00253B1B">
        <w:rPr>
          <w:b/>
          <w:sz w:val="22"/>
          <w:szCs w:val="22"/>
        </w:rPr>
        <w:t>. Έσοδα και έξοδα</w:t>
      </w:r>
    </w:p>
    <w:p w:rsidR="00722933" w:rsidRPr="00253B1B" w:rsidRDefault="00722933" w:rsidP="003506D2">
      <w:pPr>
        <w:shd w:val="clear" w:color="auto" w:fill="FFFFFF"/>
        <w:spacing w:after="160" w:line="276" w:lineRule="auto"/>
        <w:ind w:left="5" w:right="11" w:firstLine="562"/>
        <w:jc w:val="both"/>
        <w:rPr>
          <w:sz w:val="22"/>
          <w:szCs w:val="22"/>
        </w:rPr>
      </w:pPr>
      <w:bookmarkStart w:id="24" w:name="_Toc404864539"/>
      <w:r w:rsidRPr="00253B1B">
        <w:rPr>
          <w:sz w:val="22"/>
          <w:szCs w:val="22"/>
        </w:rPr>
        <w:t xml:space="preserve">Η εταιρεία καταχωρίζει τα έσοδα και τα έξοδα, όταν αυτά καθίστανται δουλευμένα. </w:t>
      </w:r>
    </w:p>
    <w:p w:rsidR="00722933" w:rsidRPr="00253B1B" w:rsidRDefault="00722933" w:rsidP="003506D2">
      <w:pPr>
        <w:shd w:val="clear" w:color="auto" w:fill="FFFFFF"/>
        <w:spacing w:after="160" w:line="276" w:lineRule="auto"/>
        <w:ind w:left="5" w:right="11" w:firstLine="562"/>
        <w:jc w:val="both"/>
        <w:rPr>
          <w:sz w:val="22"/>
          <w:szCs w:val="22"/>
        </w:rPr>
      </w:pPr>
      <w:r w:rsidRPr="00253B1B">
        <w:rPr>
          <w:sz w:val="22"/>
          <w:szCs w:val="22"/>
        </w:rPr>
        <w:t>Ειδικότερα:</w:t>
      </w:r>
    </w:p>
    <w:p w:rsidR="00722933" w:rsidRPr="00253B1B" w:rsidRDefault="00722933" w:rsidP="003506D2">
      <w:pPr>
        <w:numPr>
          <w:ilvl w:val="0"/>
          <w:numId w:val="4"/>
        </w:numPr>
        <w:shd w:val="clear" w:color="auto" w:fill="FFFFFF"/>
        <w:spacing w:after="160" w:line="276" w:lineRule="auto"/>
        <w:ind w:left="993" w:right="11" w:hanging="426"/>
        <w:jc w:val="both"/>
        <w:rPr>
          <w:sz w:val="22"/>
          <w:szCs w:val="22"/>
        </w:rPr>
      </w:pPr>
      <w:r w:rsidRPr="00253B1B">
        <w:rPr>
          <w:sz w:val="22"/>
          <w:szCs w:val="22"/>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Μεταβιβάζονται στον αγοραστή οι ουσιαστικοί κίνδυνοι και τα οφέλη που συνδέονται με την κυριότητά τους.</w:t>
      </w:r>
    </w:p>
    <w:p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Τα αγαθά γίνονται αποδεκτά από τον αγοραστή.</w:t>
      </w:r>
    </w:p>
    <w:p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Τα οικονομικά οφέλη από τη συναλλαγή μπορούν να αποτιμηθούν αξιόπιστα και θεωρείται σφόδρα πιθανή η εισροή τους στην οντότητα.</w:t>
      </w:r>
    </w:p>
    <w:p w:rsidR="00722933" w:rsidRPr="00253B1B" w:rsidRDefault="00722933" w:rsidP="003506D2">
      <w:pPr>
        <w:numPr>
          <w:ilvl w:val="0"/>
          <w:numId w:val="5"/>
        </w:numPr>
        <w:shd w:val="clear" w:color="auto" w:fill="FFFFFF"/>
        <w:spacing w:after="160" w:line="276" w:lineRule="auto"/>
        <w:ind w:left="993" w:right="11" w:hanging="426"/>
        <w:jc w:val="both"/>
        <w:rPr>
          <w:sz w:val="22"/>
          <w:szCs w:val="22"/>
        </w:rPr>
      </w:pPr>
      <w:r w:rsidRPr="00253B1B">
        <w:rPr>
          <w:sz w:val="22"/>
          <w:szCs w:val="22"/>
        </w:rPr>
        <w:t>Τα έσοδα από παροχή υπηρεσιών και κατασκευαστικά συμβόλαια καταχωρίζονται με τη μέθοδο του ποσοστού ολοκληρώσεως.</w:t>
      </w:r>
    </w:p>
    <w:p w:rsidR="00722933" w:rsidRPr="00253B1B" w:rsidRDefault="00722933" w:rsidP="003506D2">
      <w:pPr>
        <w:numPr>
          <w:ilvl w:val="0"/>
          <w:numId w:val="5"/>
        </w:numPr>
        <w:shd w:val="clear" w:color="auto" w:fill="FFFFFF"/>
        <w:spacing w:after="160" w:line="276" w:lineRule="auto"/>
        <w:ind w:left="993" w:right="11" w:hanging="426"/>
        <w:jc w:val="both"/>
        <w:rPr>
          <w:sz w:val="22"/>
          <w:szCs w:val="22"/>
        </w:rPr>
      </w:pPr>
      <w:r w:rsidRPr="00253B1B">
        <w:rPr>
          <w:sz w:val="22"/>
          <w:szCs w:val="22"/>
        </w:rPr>
        <w:t>Τα έσοδα που προέρχονται από τη χρήση περιουσιακών στοιχείων της οντότητας από τρίτους καταχωρίζονται ως εξής:</w:t>
      </w:r>
    </w:p>
    <w:p w:rsidR="00722933" w:rsidRPr="00253B1B" w:rsidRDefault="006876B2"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Οι</w:t>
      </w:r>
      <w:r w:rsidR="00722933" w:rsidRPr="00253B1B">
        <w:rPr>
          <w:sz w:val="22"/>
          <w:szCs w:val="22"/>
        </w:rPr>
        <w:t xml:space="preserve"> τόκοι βάσει χρονικής αναλογίας με τη σταθερή μέθοδο. </w:t>
      </w:r>
    </w:p>
    <w:p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Τα μερίσματα ή παρόμοιας φύσεως εισόδημα από τη συμμετοχή στην καθαρή θέση άλλων οντοτήτων όταν εγκρίνονται από το αρμόδιο όργανο που αποφασίζει τη διανομή τους.</w:t>
      </w:r>
    </w:p>
    <w:p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 xml:space="preserve"> Τα δικαιώματα βάσει των σχετικών συμβατικών όρων.</w:t>
      </w:r>
    </w:p>
    <w:p w:rsidR="009E45E8" w:rsidRPr="00253B1B" w:rsidRDefault="009E45E8" w:rsidP="003506D2">
      <w:pPr>
        <w:shd w:val="clear" w:color="auto" w:fill="FFFFFF"/>
        <w:spacing w:after="160" w:line="276" w:lineRule="auto"/>
        <w:ind w:left="5" w:right="14" w:hanging="5"/>
        <w:jc w:val="both"/>
        <w:rPr>
          <w:b/>
          <w:sz w:val="22"/>
          <w:szCs w:val="22"/>
        </w:rPr>
      </w:pPr>
      <w:r w:rsidRPr="00253B1B">
        <w:rPr>
          <w:b/>
          <w:sz w:val="22"/>
          <w:szCs w:val="22"/>
        </w:rPr>
        <w:lastRenderedPageBreak/>
        <w:t>3.1.12. Στοιχεία της καθαρής θέσεως</w:t>
      </w:r>
      <w:bookmarkEnd w:id="24"/>
    </w:p>
    <w:p w:rsidR="009F1ECA" w:rsidRPr="00253B1B" w:rsidRDefault="009F1ECA" w:rsidP="003506D2">
      <w:pPr>
        <w:shd w:val="clear" w:color="auto" w:fill="FFFFFF"/>
        <w:spacing w:after="160" w:line="276" w:lineRule="auto"/>
        <w:ind w:left="5" w:right="14" w:firstLine="562"/>
        <w:jc w:val="both"/>
        <w:rPr>
          <w:sz w:val="22"/>
          <w:szCs w:val="22"/>
        </w:rPr>
      </w:pPr>
      <w:r w:rsidRPr="00253B1B">
        <w:rPr>
          <w:sz w:val="22"/>
          <w:szCs w:val="22"/>
        </w:rPr>
        <w:t>Τα κονδύλια της καθαρής θέσεως καταχωρίζονται αρχικά και αποτιμούνται μεταγενέστερα στα ονομαστικά ποσά, που έχουν ληφθεί ή καταβληθεί.</w:t>
      </w:r>
    </w:p>
    <w:p w:rsidR="00402079" w:rsidRPr="00253B1B" w:rsidRDefault="00402079" w:rsidP="003506D2">
      <w:pPr>
        <w:shd w:val="clear" w:color="auto" w:fill="FFFFFF"/>
        <w:spacing w:after="160" w:line="276" w:lineRule="auto"/>
        <w:ind w:left="5" w:right="14" w:hanging="5"/>
        <w:jc w:val="both"/>
        <w:rPr>
          <w:b/>
          <w:sz w:val="22"/>
          <w:szCs w:val="22"/>
        </w:rPr>
      </w:pPr>
      <w:r w:rsidRPr="00253B1B">
        <w:rPr>
          <w:b/>
          <w:sz w:val="22"/>
          <w:szCs w:val="22"/>
        </w:rPr>
        <w:t xml:space="preserve">3.1.13. Ενδεχόμενα περιουσιακά στοιχεία και ενδεχόμενες υποχρεώσεις </w:t>
      </w:r>
    </w:p>
    <w:p w:rsidR="009A71F1" w:rsidRPr="00253B1B" w:rsidRDefault="009A71F1" w:rsidP="003506D2">
      <w:pPr>
        <w:shd w:val="clear" w:color="auto" w:fill="FFFFFF"/>
        <w:spacing w:after="160" w:line="276" w:lineRule="auto"/>
        <w:ind w:left="5" w:right="14" w:firstLine="562"/>
        <w:jc w:val="both"/>
        <w:rPr>
          <w:sz w:val="22"/>
          <w:szCs w:val="22"/>
        </w:rPr>
      </w:pPr>
      <w:r w:rsidRPr="00253B1B">
        <w:rPr>
          <w:sz w:val="22"/>
          <w:szCs w:val="22"/>
        </w:rPr>
        <w:t>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της Εταιρείας. Τα στοιχεία αυτά γνωστοποιούνται στις σημειώσεις των χρηματοοικονομικών καταστάσεων.</w:t>
      </w:r>
    </w:p>
    <w:p w:rsidR="00402079" w:rsidRPr="00253B1B" w:rsidRDefault="00402079" w:rsidP="003506D2">
      <w:pPr>
        <w:shd w:val="clear" w:color="auto" w:fill="FFFFFF"/>
        <w:spacing w:after="200" w:line="276" w:lineRule="auto"/>
        <w:ind w:left="5" w:right="14" w:hanging="5"/>
        <w:jc w:val="both"/>
        <w:rPr>
          <w:b/>
          <w:sz w:val="22"/>
          <w:szCs w:val="22"/>
        </w:rPr>
      </w:pPr>
      <w:r w:rsidRPr="00253B1B">
        <w:rPr>
          <w:b/>
          <w:sz w:val="22"/>
          <w:szCs w:val="22"/>
        </w:rPr>
        <w:t>3.1.14. Γεγονότα μετά την ημερομηνία ισολογισμού</w:t>
      </w:r>
    </w:p>
    <w:p w:rsidR="000651AF" w:rsidRPr="00253B1B" w:rsidRDefault="000651AF" w:rsidP="003506D2">
      <w:pPr>
        <w:shd w:val="clear" w:color="auto" w:fill="FFFFFF"/>
        <w:spacing w:after="200" w:line="276" w:lineRule="auto"/>
        <w:ind w:left="5" w:right="14" w:firstLine="562"/>
        <w:jc w:val="both"/>
        <w:rPr>
          <w:sz w:val="22"/>
          <w:szCs w:val="22"/>
        </w:rPr>
      </w:pPr>
      <w:r w:rsidRPr="00253B1B">
        <w:rPr>
          <w:sz w:val="22"/>
          <w:szCs w:val="22"/>
        </w:rPr>
        <w:t xml:space="preserve">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τέτοια γεγονότα, ως την ημερομηνία εγκρίσεως των οικονομικών καταστάσεων από το Διοικητικό Συμβούλιο. Τα μη διορθωτικά, μετά την ημερομηνία του ισολογισμού γεγονότα, γνωστοποιούνται εφόσον είναι σημαντικά, στις σημειώσεις των χρηματοοικονομικών καταστάσεων.  </w:t>
      </w:r>
    </w:p>
    <w:p w:rsidR="00402079" w:rsidRPr="00253B1B" w:rsidRDefault="00402079" w:rsidP="003506D2">
      <w:pPr>
        <w:shd w:val="clear" w:color="auto" w:fill="FFFFFF"/>
        <w:spacing w:after="200" w:line="276" w:lineRule="auto"/>
        <w:ind w:left="5" w:right="14" w:hanging="5"/>
        <w:jc w:val="both"/>
        <w:rPr>
          <w:b/>
          <w:sz w:val="22"/>
          <w:szCs w:val="22"/>
        </w:rPr>
      </w:pPr>
      <w:r w:rsidRPr="00253B1B">
        <w:rPr>
          <w:b/>
          <w:sz w:val="22"/>
          <w:szCs w:val="22"/>
        </w:rPr>
        <w:t>3.1.15. Σημαντικές λογιστικές εκτιμήσεις και παραδοχές</w:t>
      </w:r>
    </w:p>
    <w:p w:rsidR="002419A0" w:rsidRPr="00253B1B" w:rsidRDefault="002419A0" w:rsidP="003506D2">
      <w:pPr>
        <w:shd w:val="clear" w:color="auto" w:fill="FFFFFF"/>
        <w:spacing w:after="200" w:line="276" w:lineRule="auto"/>
        <w:ind w:left="5" w:right="14" w:firstLine="562"/>
        <w:jc w:val="both"/>
        <w:rPr>
          <w:sz w:val="22"/>
          <w:szCs w:val="22"/>
        </w:rPr>
      </w:pPr>
      <w:r w:rsidRPr="00253B1B">
        <w:rPr>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rsidR="004730E8" w:rsidRPr="00253B1B" w:rsidRDefault="004730E8" w:rsidP="003506D2">
      <w:pPr>
        <w:shd w:val="clear" w:color="auto" w:fill="FFFFFF"/>
        <w:spacing w:after="200" w:line="276" w:lineRule="auto"/>
        <w:ind w:left="567" w:right="14" w:hanging="567"/>
        <w:jc w:val="both"/>
        <w:rPr>
          <w:b/>
          <w:sz w:val="8"/>
          <w:szCs w:val="22"/>
        </w:rPr>
      </w:pPr>
    </w:p>
    <w:p w:rsidR="00FF2F42" w:rsidRPr="00253B1B" w:rsidRDefault="00FF2F42" w:rsidP="003506D2">
      <w:pPr>
        <w:shd w:val="clear" w:color="auto" w:fill="FFFFFF"/>
        <w:spacing w:after="200" w:line="276" w:lineRule="auto"/>
        <w:ind w:left="567" w:right="14" w:hanging="567"/>
        <w:jc w:val="both"/>
        <w:rPr>
          <w:b/>
          <w:sz w:val="22"/>
          <w:szCs w:val="22"/>
        </w:rPr>
      </w:pPr>
      <w:r w:rsidRPr="00253B1B">
        <w:rPr>
          <w:b/>
          <w:sz w:val="22"/>
          <w:szCs w:val="22"/>
        </w:rPr>
        <w:t>3.2. Μεταβολή λογιστικών αρχών και μεθόδων, μεταβολές λογιστικών εκτιμήσεων και διόρθωση σφαλμάτων προηγούμενων περιόδων</w:t>
      </w:r>
    </w:p>
    <w:p w:rsidR="00FF2F42" w:rsidRPr="00253B1B" w:rsidRDefault="00FF2F42" w:rsidP="003506D2">
      <w:pPr>
        <w:shd w:val="clear" w:color="auto" w:fill="FFFFFF"/>
        <w:spacing w:after="200" w:line="276" w:lineRule="auto"/>
        <w:ind w:left="5" w:right="14" w:hanging="5"/>
        <w:jc w:val="both"/>
        <w:rPr>
          <w:b/>
          <w:sz w:val="22"/>
          <w:szCs w:val="22"/>
        </w:rPr>
      </w:pPr>
      <w:r w:rsidRPr="00253B1B">
        <w:rPr>
          <w:b/>
          <w:sz w:val="22"/>
          <w:szCs w:val="22"/>
        </w:rPr>
        <w:t>3.2.1. Μεταβολή λογιστικών αρχών και μεθόδων</w:t>
      </w:r>
    </w:p>
    <w:p w:rsidR="002419A0" w:rsidRPr="00253B1B" w:rsidRDefault="002419A0" w:rsidP="003506D2">
      <w:pPr>
        <w:shd w:val="clear" w:color="auto" w:fill="FFFFFF"/>
        <w:spacing w:after="200" w:line="276" w:lineRule="auto"/>
        <w:ind w:left="5" w:right="14" w:firstLine="562"/>
        <w:jc w:val="both"/>
        <w:rPr>
          <w:sz w:val="22"/>
          <w:szCs w:val="22"/>
        </w:rPr>
      </w:pPr>
      <w:r w:rsidRPr="00253B1B">
        <w:rPr>
          <w:sz w:val="22"/>
          <w:szCs w:val="22"/>
        </w:rPr>
        <w:t>Οι μεταβολές λογιστικών αρχών και μεθόδων, καταχωρίζονται με αναδρομική επαναδιατύπωση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rsidR="002419A0" w:rsidRPr="00253B1B" w:rsidRDefault="002419A0" w:rsidP="003506D2">
      <w:pPr>
        <w:shd w:val="clear" w:color="auto" w:fill="FFFFFF"/>
        <w:spacing w:after="200" w:line="276" w:lineRule="auto"/>
        <w:ind w:left="5" w:right="14" w:firstLine="562"/>
        <w:jc w:val="both"/>
        <w:rPr>
          <w:sz w:val="22"/>
          <w:szCs w:val="22"/>
        </w:rPr>
      </w:pPr>
      <w:r w:rsidRPr="00253B1B">
        <w:rPr>
          <w:sz w:val="22"/>
          <w:szCs w:val="22"/>
        </w:rPr>
        <w:t>Στην παρούσα περίοδο δεν προέκυψε ανάγκη τέτοιας μεταβολής.</w:t>
      </w:r>
    </w:p>
    <w:p w:rsidR="00FF2F42" w:rsidRPr="00253B1B" w:rsidRDefault="00FF2F42" w:rsidP="003506D2">
      <w:pPr>
        <w:shd w:val="clear" w:color="auto" w:fill="FFFFFF"/>
        <w:spacing w:after="120" w:line="276" w:lineRule="auto"/>
        <w:ind w:left="5" w:right="14" w:hanging="5"/>
        <w:rPr>
          <w:b/>
          <w:sz w:val="22"/>
          <w:szCs w:val="22"/>
        </w:rPr>
      </w:pPr>
      <w:r w:rsidRPr="00253B1B">
        <w:rPr>
          <w:b/>
          <w:sz w:val="22"/>
          <w:szCs w:val="22"/>
        </w:rPr>
        <w:t>3.2.2 Μεταβολές λογιστικών εκτιμήσεων</w:t>
      </w:r>
    </w:p>
    <w:p w:rsidR="005018E8" w:rsidRPr="00253B1B" w:rsidRDefault="005018E8" w:rsidP="003506D2">
      <w:pPr>
        <w:shd w:val="clear" w:color="auto" w:fill="FFFFFF"/>
        <w:spacing w:after="120" w:line="276" w:lineRule="auto"/>
        <w:ind w:left="5" w:right="14" w:firstLine="562"/>
        <w:jc w:val="both"/>
        <w:rPr>
          <w:sz w:val="22"/>
          <w:szCs w:val="22"/>
        </w:rPr>
      </w:pPr>
      <w:r w:rsidRPr="00253B1B">
        <w:rPr>
          <w:sz w:val="22"/>
          <w:szCs w:val="22"/>
        </w:rPr>
        <w:t>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μεταβολές αυτές δεν καταχωρίζονται αναδρομικά.</w:t>
      </w:r>
    </w:p>
    <w:p w:rsidR="00FF2F42" w:rsidRPr="00253B1B" w:rsidRDefault="00FF2F42" w:rsidP="003506D2">
      <w:pPr>
        <w:shd w:val="clear" w:color="auto" w:fill="FFFFFF"/>
        <w:spacing w:after="120" w:line="276" w:lineRule="auto"/>
        <w:ind w:left="5" w:right="14" w:hanging="5"/>
        <w:rPr>
          <w:b/>
          <w:sz w:val="22"/>
          <w:szCs w:val="22"/>
        </w:rPr>
      </w:pPr>
      <w:r w:rsidRPr="00253B1B">
        <w:rPr>
          <w:b/>
          <w:sz w:val="22"/>
          <w:szCs w:val="22"/>
        </w:rPr>
        <w:t>3.2.3. Διόρθωση σφαλμάτων προηγούμενων περιόδων</w:t>
      </w:r>
    </w:p>
    <w:p w:rsidR="0080505C" w:rsidRPr="00253B1B" w:rsidRDefault="0080505C" w:rsidP="003506D2">
      <w:pPr>
        <w:shd w:val="clear" w:color="auto" w:fill="FFFFFF"/>
        <w:spacing w:after="120" w:line="276" w:lineRule="auto"/>
        <w:ind w:left="5" w:right="14" w:firstLine="562"/>
        <w:jc w:val="both"/>
        <w:rPr>
          <w:sz w:val="22"/>
          <w:szCs w:val="22"/>
        </w:rPr>
      </w:pPr>
      <w:r w:rsidRPr="00253B1B">
        <w:rPr>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rsidR="0080505C" w:rsidRPr="00253B1B" w:rsidRDefault="0080505C" w:rsidP="003506D2">
      <w:pPr>
        <w:shd w:val="clear" w:color="auto" w:fill="FFFFFF"/>
        <w:spacing w:after="120" w:line="276" w:lineRule="auto"/>
        <w:ind w:left="5" w:right="14" w:firstLine="562"/>
        <w:jc w:val="both"/>
        <w:rPr>
          <w:sz w:val="22"/>
          <w:szCs w:val="22"/>
        </w:rPr>
      </w:pPr>
      <w:r w:rsidRPr="00253B1B">
        <w:rPr>
          <w:sz w:val="22"/>
          <w:szCs w:val="22"/>
        </w:rPr>
        <w:t>Στην παρούσα περίοδο δεν εντοπίστηκε σφάλμα προηγούμενης περιόδου.</w:t>
      </w:r>
    </w:p>
    <w:p w:rsidR="00ED1BD1" w:rsidRPr="00253B1B" w:rsidRDefault="00FF2F42" w:rsidP="003506D2">
      <w:pPr>
        <w:pStyle w:val="1"/>
        <w:spacing w:after="120" w:line="276" w:lineRule="auto"/>
        <w:jc w:val="left"/>
      </w:pPr>
      <w:bookmarkStart w:id="25" w:name="_Toc488058536"/>
      <w:bookmarkStart w:id="26" w:name="_Toc15545997"/>
      <w:r w:rsidRPr="00253B1B">
        <w:lastRenderedPageBreak/>
        <w:t>4. Π</w:t>
      </w:r>
      <w:r w:rsidR="00B0095A" w:rsidRPr="00253B1B">
        <w:t>αρεκκλίσεις από τις διατάξεις του νόμου</w:t>
      </w:r>
      <w:r w:rsidR="00ED1BD1" w:rsidRPr="00253B1B">
        <w:t xml:space="preserve"> προκειμένου να επιτευχθεί εύλογη παρουσίαση των χρηματοοικονομικών καταστάσεων</w:t>
      </w:r>
      <w:bookmarkEnd w:id="25"/>
      <w:bookmarkEnd w:id="26"/>
    </w:p>
    <w:p w:rsidR="001E3148" w:rsidRDefault="001E3148" w:rsidP="003506D2">
      <w:pPr>
        <w:shd w:val="clear" w:color="auto" w:fill="FFFFFF"/>
        <w:spacing w:after="120" w:line="276" w:lineRule="auto"/>
        <w:ind w:left="5" w:right="14" w:firstLine="562"/>
        <w:jc w:val="both"/>
        <w:rPr>
          <w:sz w:val="22"/>
          <w:szCs w:val="22"/>
        </w:rPr>
      </w:pPr>
      <w:r w:rsidRPr="00253B1B">
        <w:rPr>
          <w:sz w:val="22"/>
          <w:szCs w:val="22"/>
        </w:rPr>
        <w:t>Στην παρούσα περίοδο δεν προέκυψε ανάγκη τέτοιας παρεκκλίσεως.</w:t>
      </w:r>
    </w:p>
    <w:p w:rsidR="003506D2" w:rsidRPr="00253B1B" w:rsidRDefault="003506D2" w:rsidP="003506D2">
      <w:pPr>
        <w:shd w:val="clear" w:color="auto" w:fill="FFFFFF"/>
        <w:spacing w:line="276" w:lineRule="auto"/>
        <w:ind w:left="6" w:right="11" w:firstLine="561"/>
        <w:jc w:val="both"/>
        <w:rPr>
          <w:sz w:val="22"/>
          <w:szCs w:val="22"/>
        </w:rPr>
      </w:pPr>
    </w:p>
    <w:p w:rsidR="006C47D8" w:rsidRPr="00253B1B" w:rsidRDefault="00FF2F42" w:rsidP="003506D2">
      <w:pPr>
        <w:pStyle w:val="1"/>
        <w:spacing w:after="120" w:line="276" w:lineRule="auto"/>
        <w:jc w:val="left"/>
        <w:rPr>
          <w:b w:val="0"/>
          <w:sz w:val="22"/>
          <w:szCs w:val="22"/>
        </w:rPr>
      </w:pPr>
      <w:bookmarkStart w:id="27" w:name="_Toc488058537"/>
      <w:bookmarkStart w:id="28" w:name="_Toc15545998"/>
      <w:r w:rsidRPr="00253B1B">
        <w:t>5. Σ</w:t>
      </w:r>
      <w:r w:rsidR="00ED1BD1" w:rsidRPr="00253B1B">
        <w:t>χέσεις ενός περιουσιακού στοιχείου ή μιας υποχρεώσεως με περισσότερα από ένα κονδύλια</w:t>
      </w:r>
      <w:bookmarkEnd w:id="27"/>
      <w:bookmarkEnd w:id="28"/>
      <w:r w:rsidR="00ED1BD1" w:rsidRPr="00253B1B">
        <w:t xml:space="preserve"> </w:t>
      </w:r>
    </w:p>
    <w:p w:rsidR="00FF2F42" w:rsidRDefault="005E4998" w:rsidP="003506D2">
      <w:pPr>
        <w:shd w:val="clear" w:color="auto" w:fill="FFFFFF"/>
        <w:spacing w:after="120" w:line="276" w:lineRule="auto"/>
        <w:ind w:left="5" w:right="14" w:firstLine="562"/>
        <w:jc w:val="both"/>
        <w:rPr>
          <w:sz w:val="22"/>
          <w:szCs w:val="22"/>
        </w:rPr>
      </w:pPr>
      <w:r w:rsidRPr="00253B1B">
        <w:rPr>
          <w:sz w:val="22"/>
          <w:szCs w:val="22"/>
        </w:rPr>
        <w:t>Δεν υπάρχουν σχέσεις με περισσότερα από ένα κονδύλια.</w:t>
      </w:r>
    </w:p>
    <w:p w:rsidR="00ED1BD1" w:rsidRPr="001A1E85" w:rsidRDefault="00FF2F42" w:rsidP="003506D2">
      <w:pPr>
        <w:pStyle w:val="1"/>
        <w:spacing w:line="276" w:lineRule="auto"/>
        <w:jc w:val="left"/>
      </w:pPr>
      <w:bookmarkStart w:id="29" w:name="_Toc488058538"/>
      <w:bookmarkStart w:id="30" w:name="_Toc15545999"/>
      <w:r w:rsidRPr="001A1E85">
        <w:t>6. Π</w:t>
      </w:r>
      <w:r w:rsidR="00ED1BD1" w:rsidRPr="001A1E85">
        <w:t>ληροφορίες σχετικά με ενσώματα και άυλα πάγια περιουσιακά στοιχεί</w:t>
      </w:r>
      <w:r w:rsidR="006C47D8" w:rsidRPr="001A1E85">
        <w:t>α</w:t>
      </w:r>
      <w:bookmarkEnd w:id="29"/>
      <w:bookmarkEnd w:id="30"/>
    </w:p>
    <w:p w:rsidR="00253B1B" w:rsidRPr="001A1E85" w:rsidRDefault="00253B1B" w:rsidP="003506D2">
      <w:pPr>
        <w:spacing w:line="276" w:lineRule="auto"/>
        <w:rPr>
          <w:lang w:val="x-none" w:eastAsia="en-US"/>
        </w:rPr>
      </w:pPr>
    </w:p>
    <w:p w:rsidR="006C47D8" w:rsidRPr="001A1E85" w:rsidRDefault="006C47D8" w:rsidP="003506D2">
      <w:pPr>
        <w:shd w:val="clear" w:color="auto" w:fill="FFFFFF"/>
        <w:spacing w:after="200" w:line="276" w:lineRule="auto"/>
        <w:ind w:left="284" w:right="14" w:hanging="284"/>
        <w:rPr>
          <w:b/>
          <w:sz w:val="22"/>
          <w:szCs w:val="22"/>
        </w:rPr>
      </w:pPr>
      <w:r w:rsidRPr="001A1E85">
        <w:rPr>
          <w:b/>
          <w:sz w:val="22"/>
          <w:szCs w:val="22"/>
        </w:rPr>
        <w:t>6.</w:t>
      </w:r>
      <w:r w:rsidR="00751887" w:rsidRPr="001A1E85">
        <w:rPr>
          <w:b/>
          <w:sz w:val="22"/>
          <w:szCs w:val="22"/>
        </w:rPr>
        <w:t>1</w:t>
      </w:r>
      <w:r w:rsidRPr="001A1E85">
        <w:rPr>
          <w:b/>
          <w:sz w:val="22"/>
          <w:szCs w:val="22"/>
        </w:rPr>
        <w:t xml:space="preserve">. </w:t>
      </w:r>
      <w:r w:rsidR="00515793" w:rsidRPr="001A1E85">
        <w:rPr>
          <w:b/>
          <w:sz w:val="22"/>
          <w:szCs w:val="22"/>
        </w:rPr>
        <w:t xml:space="preserve">Ιδιοχρησιμοποιούμενα </w:t>
      </w:r>
      <w:r w:rsidRPr="001A1E85">
        <w:rPr>
          <w:b/>
          <w:sz w:val="22"/>
          <w:szCs w:val="22"/>
        </w:rPr>
        <w:t>ενσώματα πάγια περιουσιακά στοιχεία</w:t>
      </w:r>
    </w:p>
    <w:p w:rsidR="00EE5D1B" w:rsidRDefault="00EE5D1B" w:rsidP="003506D2">
      <w:pPr>
        <w:shd w:val="clear" w:color="auto" w:fill="FFFFFF"/>
        <w:spacing w:line="276" w:lineRule="auto"/>
        <w:ind w:left="284" w:right="11" w:hanging="284"/>
        <w:rPr>
          <w:b/>
          <w:sz w:val="22"/>
          <w:szCs w:val="22"/>
          <w:highlight w:val="yellow"/>
        </w:rPr>
      </w:pPr>
    </w:p>
    <w:tbl>
      <w:tblPr>
        <w:tblW w:w="5000" w:type="pct"/>
        <w:tblLook w:val="04A0" w:firstRow="1" w:lastRow="0" w:firstColumn="1" w:lastColumn="0" w:noHBand="0" w:noVBand="1"/>
      </w:tblPr>
      <w:tblGrid>
        <w:gridCol w:w="5053"/>
        <w:gridCol w:w="2526"/>
        <w:gridCol w:w="2143"/>
      </w:tblGrid>
      <w:tr w:rsidR="00A149AB" w:rsidTr="00A149AB">
        <w:trPr>
          <w:trHeight w:val="936"/>
        </w:trPr>
        <w:tc>
          <w:tcPr>
            <w:tcW w:w="259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Πίνακας μεταβολών ενσώματων πάγιων στοιχείων </w:t>
            </w:r>
            <w:proofErr w:type="spellStart"/>
            <w:r>
              <w:rPr>
                <w:b/>
                <w:bCs/>
                <w:color w:val="000000"/>
                <w:sz w:val="22"/>
                <w:szCs w:val="22"/>
              </w:rPr>
              <w:t>ιδιοχρησιμοποιούμενων</w:t>
            </w:r>
            <w:proofErr w:type="spellEnd"/>
          </w:p>
        </w:tc>
        <w:tc>
          <w:tcPr>
            <w:tcW w:w="1299"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Μηχανολογικός εξοπλισμός</w:t>
            </w:r>
          </w:p>
        </w:tc>
        <w:tc>
          <w:tcPr>
            <w:tcW w:w="1102"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Λοιπός εξοπλισμός</w:t>
            </w:r>
          </w:p>
        </w:tc>
      </w:tr>
      <w:tr w:rsidR="00A149AB" w:rsidTr="00A149AB">
        <w:trPr>
          <w:trHeight w:val="288"/>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Αξία κτήσεως </w:t>
            </w:r>
          </w:p>
        </w:tc>
        <w:tc>
          <w:tcPr>
            <w:tcW w:w="1299" w:type="pct"/>
            <w:tcBorders>
              <w:top w:val="nil"/>
              <w:left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c>
          <w:tcPr>
            <w:tcW w:w="1102" w:type="pct"/>
            <w:tcBorders>
              <w:top w:val="nil"/>
              <w:left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1.1.2020</w:t>
            </w:r>
          </w:p>
        </w:tc>
        <w:tc>
          <w:tcPr>
            <w:tcW w:w="1299"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815.563,99</w:t>
            </w:r>
          </w:p>
        </w:tc>
        <w:tc>
          <w:tcPr>
            <w:tcW w:w="1102"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77.785,71</w:t>
            </w:r>
          </w:p>
        </w:tc>
      </w:tr>
      <w:tr w:rsidR="00A149AB" w:rsidTr="00A149AB">
        <w:trPr>
          <w:trHeight w:val="288"/>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31.12.2020</w:t>
            </w:r>
          </w:p>
        </w:tc>
        <w:tc>
          <w:tcPr>
            <w:tcW w:w="1299"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815.563,99</w:t>
            </w:r>
          </w:p>
        </w:tc>
        <w:tc>
          <w:tcPr>
            <w:tcW w:w="1102"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77.785,71</w:t>
            </w:r>
          </w:p>
        </w:tc>
      </w:tr>
      <w:tr w:rsidR="00A149AB" w:rsidTr="00A149AB">
        <w:trPr>
          <w:trHeight w:val="564"/>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Σωρευμένες αποσβέσεις και </w:t>
            </w:r>
            <w:proofErr w:type="spellStart"/>
            <w:r>
              <w:rPr>
                <w:b/>
                <w:bCs/>
                <w:color w:val="000000"/>
                <w:sz w:val="22"/>
                <w:szCs w:val="22"/>
              </w:rPr>
              <w:t>απομειώσεις</w:t>
            </w:r>
            <w:proofErr w:type="spellEnd"/>
          </w:p>
        </w:tc>
        <w:tc>
          <w:tcPr>
            <w:tcW w:w="1299"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c>
          <w:tcPr>
            <w:tcW w:w="1102"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1.1.2020</w:t>
            </w:r>
          </w:p>
        </w:tc>
        <w:tc>
          <w:tcPr>
            <w:tcW w:w="1299" w:type="pct"/>
            <w:tcBorders>
              <w:top w:val="nil"/>
              <w:left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-811.664,59</w:t>
            </w:r>
          </w:p>
        </w:tc>
        <w:tc>
          <w:tcPr>
            <w:tcW w:w="1102" w:type="pct"/>
            <w:tcBorders>
              <w:top w:val="nil"/>
              <w:left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-76.982,92</w:t>
            </w:r>
          </w:p>
        </w:tc>
      </w:tr>
      <w:tr w:rsidR="00A149AB" w:rsidTr="00A149AB">
        <w:trPr>
          <w:trHeight w:val="276"/>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Αποσβέσεις περιόδου</w:t>
            </w:r>
          </w:p>
        </w:tc>
        <w:tc>
          <w:tcPr>
            <w:tcW w:w="1299"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-803,06</w:t>
            </w:r>
          </w:p>
        </w:tc>
        <w:tc>
          <w:tcPr>
            <w:tcW w:w="1102"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-549,05</w:t>
            </w:r>
          </w:p>
        </w:tc>
      </w:tr>
      <w:tr w:rsidR="00A149AB" w:rsidTr="00A149AB">
        <w:trPr>
          <w:trHeight w:val="288"/>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31.12.2020</w:t>
            </w:r>
          </w:p>
        </w:tc>
        <w:tc>
          <w:tcPr>
            <w:tcW w:w="1299"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-812.467,65</w:t>
            </w:r>
          </w:p>
        </w:tc>
        <w:tc>
          <w:tcPr>
            <w:tcW w:w="1102"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-77.531,97</w:t>
            </w:r>
          </w:p>
        </w:tc>
      </w:tr>
      <w:tr w:rsidR="00A149AB" w:rsidTr="00A149AB">
        <w:trPr>
          <w:trHeight w:val="300"/>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Καθαρή λογιστική αξία 31.12.2020</w:t>
            </w:r>
          </w:p>
        </w:tc>
        <w:tc>
          <w:tcPr>
            <w:tcW w:w="1299"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3.096,34</w:t>
            </w:r>
          </w:p>
        </w:tc>
        <w:tc>
          <w:tcPr>
            <w:tcW w:w="1102"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253,74</w:t>
            </w:r>
          </w:p>
        </w:tc>
      </w:tr>
      <w:tr w:rsidR="00A149AB" w:rsidTr="00A149AB">
        <w:trPr>
          <w:trHeight w:val="288"/>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Αξία κτήσεως </w:t>
            </w:r>
          </w:p>
        </w:tc>
        <w:tc>
          <w:tcPr>
            <w:tcW w:w="1299" w:type="pct"/>
            <w:tcBorders>
              <w:top w:val="nil"/>
              <w:left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c>
          <w:tcPr>
            <w:tcW w:w="1102" w:type="pct"/>
            <w:tcBorders>
              <w:top w:val="nil"/>
              <w:left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1.1.2021</w:t>
            </w:r>
          </w:p>
        </w:tc>
        <w:tc>
          <w:tcPr>
            <w:tcW w:w="1299"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815.563,99</w:t>
            </w:r>
          </w:p>
        </w:tc>
        <w:tc>
          <w:tcPr>
            <w:tcW w:w="1102"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77.785,71</w:t>
            </w:r>
          </w:p>
        </w:tc>
      </w:tr>
      <w:tr w:rsidR="00A149AB" w:rsidTr="00A149AB">
        <w:trPr>
          <w:trHeight w:val="288"/>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31.12.2021</w:t>
            </w:r>
          </w:p>
        </w:tc>
        <w:tc>
          <w:tcPr>
            <w:tcW w:w="1299"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815.563,99</w:t>
            </w:r>
          </w:p>
        </w:tc>
        <w:tc>
          <w:tcPr>
            <w:tcW w:w="1102"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77.785,71</w:t>
            </w:r>
          </w:p>
        </w:tc>
      </w:tr>
      <w:tr w:rsidR="00A149AB" w:rsidTr="00A149AB">
        <w:trPr>
          <w:trHeight w:val="564"/>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Σωρευμένες αποσβέσεις και </w:t>
            </w:r>
            <w:proofErr w:type="spellStart"/>
            <w:r>
              <w:rPr>
                <w:b/>
                <w:bCs/>
                <w:color w:val="000000"/>
                <w:sz w:val="22"/>
                <w:szCs w:val="22"/>
              </w:rPr>
              <w:t>απομειώσεις</w:t>
            </w:r>
            <w:proofErr w:type="spellEnd"/>
          </w:p>
        </w:tc>
        <w:tc>
          <w:tcPr>
            <w:tcW w:w="1299"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c>
          <w:tcPr>
            <w:tcW w:w="1102"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1.1.2021</w:t>
            </w:r>
          </w:p>
        </w:tc>
        <w:tc>
          <w:tcPr>
            <w:tcW w:w="1299" w:type="pct"/>
            <w:tcBorders>
              <w:top w:val="nil"/>
              <w:left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-812.467,65</w:t>
            </w:r>
          </w:p>
        </w:tc>
        <w:tc>
          <w:tcPr>
            <w:tcW w:w="1102" w:type="pct"/>
            <w:tcBorders>
              <w:top w:val="nil"/>
              <w:left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-77.531,97</w:t>
            </w:r>
          </w:p>
        </w:tc>
      </w:tr>
      <w:tr w:rsidR="00A149AB" w:rsidTr="00A149AB">
        <w:trPr>
          <w:trHeight w:val="276"/>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Αποσβέσεις περιόδου</w:t>
            </w:r>
          </w:p>
        </w:tc>
        <w:tc>
          <w:tcPr>
            <w:tcW w:w="1299"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-803,06</w:t>
            </w:r>
          </w:p>
        </w:tc>
        <w:tc>
          <w:tcPr>
            <w:tcW w:w="1102"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-52,60</w:t>
            </w:r>
          </w:p>
        </w:tc>
      </w:tr>
      <w:tr w:rsidR="00A149AB" w:rsidTr="00A149AB">
        <w:trPr>
          <w:trHeight w:val="288"/>
        </w:trPr>
        <w:tc>
          <w:tcPr>
            <w:tcW w:w="2599"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31.12.2021</w:t>
            </w:r>
          </w:p>
        </w:tc>
        <w:tc>
          <w:tcPr>
            <w:tcW w:w="1299"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-813.270,71</w:t>
            </w:r>
          </w:p>
        </w:tc>
        <w:tc>
          <w:tcPr>
            <w:tcW w:w="1102" w:type="pct"/>
            <w:tcBorders>
              <w:top w:val="single" w:sz="4" w:space="0" w:color="auto"/>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-77.584,57</w:t>
            </w:r>
          </w:p>
        </w:tc>
      </w:tr>
      <w:tr w:rsidR="00A149AB" w:rsidTr="00A149AB">
        <w:trPr>
          <w:trHeight w:val="300"/>
        </w:trPr>
        <w:tc>
          <w:tcPr>
            <w:tcW w:w="2599" w:type="pct"/>
            <w:tcBorders>
              <w:top w:val="nil"/>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Καθαρή λογιστική αξία 31.12.2021</w:t>
            </w:r>
          </w:p>
        </w:tc>
        <w:tc>
          <w:tcPr>
            <w:tcW w:w="1299"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2.293,28</w:t>
            </w:r>
          </w:p>
        </w:tc>
        <w:tc>
          <w:tcPr>
            <w:tcW w:w="1102"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201,14</w:t>
            </w:r>
          </w:p>
        </w:tc>
      </w:tr>
    </w:tbl>
    <w:p w:rsidR="00A258EC" w:rsidRPr="00A131AE" w:rsidRDefault="00A258EC" w:rsidP="003506D2">
      <w:pPr>
        <w:shd w:val="clear" w:color="auto" w:fill="FFFFFF"/>
        <w:spacing w:line="276" w:lineRule="auto"/>
        <w:ind w:left="284" w:right="11" w:hanging="284"/>
        <w:rPr>
          <w:b/>
          <w:sz w:val="22"/>
          <w:szCs w:val="22"/>
          <w:highlight w:val="yellow"/>
        </w:rPr>
      </w:pPr>
    </w:p>
    <w:p w:rsidR="00917343" w:rsidRPr="00B45F92" w:rsidRDefault="00917343" w:rsidP="00B82D0D">
      <w:pPr>
        <w:shd w:val="clear" w:color="auto" w:fill="FFFFFF"/>
        <w:spacing w:after="200" w:line="276" w:lineRule="auto"/>
        <w:ind w:left="284" w:right="14" w:hanging="284"/>
        <w:rPr>
          <w:b/>
          <w:sz w:val="22"/>
          <w:szCs w:val="22"/>
        </w:rPr>
      </w:pPr>
      <w:r w:rsidRPr="00B45F92">
        <w:rPr>
          <w:b/>
          <w:sz w:val="22"/>
          <w:szCs w:val="22"/>
        </w:rPr>
        <w:t>6.</w:t>
      </w:r>
      <w:r w:rsidR="00751887" w:rsidRPr="00B45F92">
        <w:rPr>
          <w:b/>
          <w:sz w:val="22"/>
          <w:szCs w:val="22"/>
        </w:rPr>
        <w:t>2</w:t>
      </w:r>
      <w:r w:rsidRPr="00B45F92">
        <w:rPr>
          <w:b/>
          <w:sz w:val="22"/>
          <w:szCs w:val="22"/>
        </w:rPr>
        <w:t>. Επενδυτικά ακίνητα</w:t>
      </w:r>
    </w:p>
    <w:tbl>
      <w:tblPr>
        <w:tblW w:w="5000" w:type="pct"/>
        <w:tblLook w:val="04A0" w:firstRow="1" w:lastRow="0" w:firstColumn="1" w:lastColumn="0" w:noHBand="0" w:noVBand="1"/>
      </w:tblPr>
      <w:tblGrid>
        <w:gridCol w:w="5089"/>
        <w:gridCol w:w="2409"/>
        <w:gridCol w:w="2224"/>
      </w:tblGrid>
      <w:tr w:rsidR="00B45F92" w:rsidTr="00250935">
        <w:tc>
          <w:tcPr>
            <w:tcW w:w="261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B45F92" w:rsidRDefault="00B45F92" w:rsidP="003506D2">
            <w:pPr>
              <w:spacing w:line="276" w:lineRule="auto"/>
              <w:rPr>
                <w:b/>
                <w:bCs/>
                <w:color w:val="000000"/>
                <w:sz w:val="22"/>
                <w:szCs w:val="22"/>
              </w:rPr>
            </w:pPr>
            <w:r>
              <w:rPr>
                <w:b/>
                <w:bCs/>
                <w:color w:val="000000"/>
                <w:sz w:val="22"/>
                <w:szCs w:val="22"/>
              </w:rPr>
              <w:t>Πίνακας μεταβολών επενδυτικών ακινήτων</w:t>
            </w:r>
          </w:p>
        </w:tc>
        <w:tc>
          <w:tcPr>
            <w:tcW w:w="1239" w:type="pct"/>
            <w:tcBorders>
              <w:top w:val="single" w:sz="12" w:space="0" w:color="auto"/>
              <w:left w:val="nil"/>
              <w:bottom w:val="single" w:sz="12" w:space="0" w:color="auto"/>
              <w:right w:val="single" w:sz="12" w:space="0" w:color="auto"/>
            </w:tcBorders>
            <w:shd w:val="clear" w:color="auto" w:fill="auto"/>
            <w:vAlign w:val="center"/>
            <w:hideMark/>
          </w:tcPr>
          <w:p w:rsidR="00B45F92" w:rsidRDefault="00B45F92" w:rsidP="003506D2">
            <w:pPr>
              <w:spacing w:line="276" w:lineRule="auto"/>
              <w:jc w:val="center"/>
              <w:rPr>
                <w:b/>
                <w:bCs/>
                <w:color w:val="000000"/>
                <w:sz w:val="22"/>
                <w:szCs w:val="22"/>
              </w:rPr>
            </w:pPr>
            <w:r>
              <w:rPr>
                <w:b/>
                <w:bCs/>
                <w:color w:val="000000"/>
                <w:sz w:val="22"/>
                <w:szCs w:val="22"/>
              </w:rPr>
              <w:t>Γήπεδα</w:t>
            </w:r>
          </w:p>
        </w:tc>
        <w:tc>
          <w:tcPr>
            <w:tcW w:w="1144" w:type="pct"/>
            <w:tcBorders>
              <w:top w:val="single" w:sz="12" w:space="0" w:color="auto"/>
              <w:left w:val="nil"/>
              <w:bottom w:val="single" w:sz="12" w:space="0" w:color="auto"/>
              <w:right w:val="single" w:sz="12" w:space="0" w:color="auto"/>
            </w:tcBorders>
            <w:shd w:val="clear" w:color="auto" w:fill="auto"/>
            <w:vAlign w:val="center"/>
            <w:hideMark/>
          </w:tcPr>
          <w:p w:rsidR="00B45F92" w:rsidRDefault="00B45F92" w:rsidP="003506D2">
            <w:pPr>
              <w:spacing w:line="276" w:lineRule="auto"/>
              <w:jc w:val="center"/>
              <w:rPr>
                <w:b/>
                <w:bCs/>
                <w:color w:val="000000"/>
                <w:sz w:val="22"/>
                <w:szCs w:val="22"/>
              </w:rPr>
            </w:pPr>
            <w:r>
              <w:rPr>
                <w:b/>
                <w:bCs/>
                <w:color w:val="000000"/>
                <w:sz w:val="22"/>
                <w:szCs w:val="22"/>
              </w:rPr>
              <w:t>Σύνολο</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B45F92" w:rsidP="003506D2">
            <w:pPr>
              <w:spacing w:line="276" w:lineRule="auto"/>
              <w:rPr>
                <w:b/>
                <w:bCs/>
                <w:color w:val="000000"/>
                <w:sz w:val="22"/>
                <w:szCs w:val="22"/>
              </w:rPr>
            </w:pPr>
            <w:r>
              <w:rPr>
                <w:b/>
                <w:bCs/>
                <w:color w:val="000000"/>
                <w:sz w:val="22"/>
                <w:szCs w:val="22"/>
              </w:rPr>
              <w:t xml:space="preserve">Αξία κτήσεως </w:t>
            </w:r>
          </w:p>
        </w:tc>
        <w:tc>
          <w:tcPr>
            <w:tcW w:w="1239" w:type="pct"/>
            <w:tcBorders>
              <w:top w:val="nil"/>
              <w:left w:val="nil"/>
              <w:bottom w:val="nil"/>
              <w:right w:val="single" w:sz="12" w:space="0" w:color="auto"/>
            </w:tcBorders>
            <w:shd w:val="clear" w:color="auto" w:fill="auto"/>
            <w:vAlign w:val="center"/>
            <w:hideMark/>
          </w:tcPr>
          <w:p w:rsidR="00B45F92" w:rsidRDefault="00B45F92" w:rsidP="003506D2">
            <w:pPr>
              <w:spacing w:line="276" w:lineRule="auto"/>
              <w:rPr>
                <w:color w:val="000000"/>
                <w:sz w:val="22"/>
                <w:szCs w:val="22"/>
              </w:rPr>
            </w:pPr>
            <w:r>
              <w:rPr>
                <w:color w:val="000000"/>
                <w:sz w:val="22"/>
                <w:szCs w:val="22"/>
              </w:rPr>
              <w:t> </w:t>
            </w:r>
          </w:p>
        </w:tc>
        <w:tc>
          <w:tcPr>
            <w:tcW w:w="1144" w:type="pct"/>
            <w:tcBorders>
              <w:top w:val="nil"/>
              <w:left w:val="nil"/>
              <w:bottom w:val="nil"/>
              <w:right w:val="single" w:sz="12" w:space="0" w:color="auto"/>
            </w:tcBorders>
            <w:shd w:val="clear" w:color="auto" w:fill="auto"/>
            <w:vAlign w:val="center"/>
            <w:hideMark/>
          </w:tcPr>
          <w:p w:rsidR="00B45F92" w:rsidRDefault="00B45F92" w:rsidP="003506D2">
            <w:pPr>
              <w:spacing w:line="276" w:lineRule="auto"/>
              <w:rPr>
                <w:color w:val="000000"/>
                <w:sz w:val="22"/>
                <w:szCs w:val="22"/>
              </w:rPr>
            </w:pPr>
            <w:r>
              <w:rPr>
                <w:color w:val="000000"/>
                <w:sz w:val="22"/>
                <w:szCs w:val="22"/>
              </w:rPr>
              <w:t> </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A149AB" w:rsidP="003506D2">
            <w:pPr>
              <w:spacing w:line="276" w:lineRule="auto"/>
              <w:rPr>
                <w:color w:val="000000"/>
                <w:sz w:val="22"/>
                <w:szCs w:val="22"/>
              </w:rPr>
            </w:pPr>
            <w:r>
              <w:rPr>
                <w:color w:val="000000"/>
                <w:sz w:val="22"/>
                <w:szCs w:val="22"/>
              </w:rPr>
              <w:t>Υπόλοιπο 1.1.2020</w:t>
            </w:r>
          </w:p>
        </w:tc>
        <w:tc>
          <w:tcPr>
            <w:tcW w:w="1239" w:type="pct"/>
            <w:tcBorders>
              <w:top w:val="nil"/>
              <w:left w:val="nil"/>
              <w:bottom w:val="single" w:sz="2" w:space="0" w:color="auto"/>
              <w:right w:val="single" w:sz="12" w:space="0" w:color="auto"/>
            </w:tcBorders>
            <w:shd w:val="clear" w:color="auto" w:fill="auto"/>
            <w:vAlign w:val="center"/>
            <w:hideMark/>
          </w:tcPr>
          <w:p w:rsidR="00B45F92" w:rsidRDefault="00B45F92" w:rsidP="003506D2">
            <w:pPr>
              <w:spacing w:line="276" w:lineRule="auto"/>
              <w:jc w:val="right"/>
              <w:rPr>
                <w:color w:val="000000"/>
                <w:sz w:val="22"/>
                <w:szCs w:val="22"/>
              </w:rPr>
            </w:pPr>
            <w:r>
              <w:rPr>
                <w:color w:val="000000"/>
                <w:sz w:val="22"/>
                <w:szCs w:val="22"/>
              </w:rPr>
              <w:t>59.430,00</w:t>
            </w:r>
          </w:p>
        </w:tc>
        <w:tc>
          <w:tcPr>
            <w:tcW w:w="1144" w:type="pct"/>
            <w:tcBorders>
              <w:top w:val="nil"/>
              <w:left w:val="nil"/>
              <w:bottom w:val="single" w:sz="2" w:space="0" w:color="auto"/>
              <w:right w:val="single" w:sz="12" w:space="0" w:color="auto"/>
            </w:tcBorders>
            <w:shd w:val="clear" w:color="auto" w:fill="auto"/>
            <w:vAlign w:val="center"/>
            <w:hideMark/>
          </w:tcPr>
          <w:p w:rsidR="00B45F92" w:rsidRDefault="00B45F92" w:rsidP="003506D2">
            <w:pPr>
              <w:spacing w:line="276" w:lineRule="auto"/>
              <w:jc w:val="right"/>
              <w:rPr>
                <w:color w:val="000000"/>
                <w:sz w:val="22"/>
                <w:szCs w:val="22"/>
              </w:rPr>
            </w:pPr>
            <w:r>
              <w:rPr>
                <w:color w:val="000000"/>
                <w:sz w:val="22"/>
                <w:szCs w:val="22"/>
              </w:rPr>
              <w:t>59.430,00</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A149AB" w:rsidP="003506D2">
            <w:pPr>
              <w:spacing w:line="276" w:lineRule="auto"/>
              <w:rPr>
                <w:b/>
                <w:bCs/>
                <w:color w:val="000000"/>
                <w:sz w:val="22"/>
                <w:szCs w:val="22"/>
              </w:rPr>
            </w:pPr>
            <w:r>
              <w:rPr>
                <w:b/>
                <w:bCs/>
                <w:color w:val="000000"/>
                <w:sz w:val="22"/>
                <w:szCs w:val="22"/>
              </w:rPr>
              <w:t>Υπόλοιπο 31.12.2020</w:t>
            </w:r>
          </w:p>
        </w:tc>
        <w:tc>
          <w:tcPr>
            <w:tcW w:w="1239" w:type="pct"/>
            <w:tcBorders>
              <w:top w:val="single" w:sz="2" w:space="0" w:color="auto"/>
              <w:left w:val="nil"/>
              <w:bottom w:val="double" w:sz="6" w:space="0" w:color="auto"/>
              <w:right w:val="single" w:sz="12" w:space="0" w:color="auto"/>
            </w:tcBorders>
            <w:shd w:val="clear" w:color="auto" w:fill="auto"/>
            <w:vAlign w:val="center"/>
            <w:hideMark/>
          </w:tcPr>
          <w:p w:rsidR="00B45F92" w:rsidRPr="00A149AB" w:rsidRDefault="00B45F92" w:rsidP="003506D2">
            <w:pPr>
              <w:spacing w:line="276" w:lineRule="auto"/>
              <w:jc w:val="right"/>
              <w:rPr>
                <w:b/>
                <w:color w:val="000000"/>
                <w:sz w:val="22"/>
                <w:szCs w:val="22"/>
              </w:rPr>
            </w:pPr>
            <w:r w:rsidRPr="00A149AB">
              <w:rPr>
                <w:b/>
                <w:color w:val="000000"/>
                <w:sz w:val="22"/>
                <w:szCs w:val="22"/>
              </w:rPr>
              <w:t>59.430,00</w:t>
            </w:r>
          </w:p>
        </w:tc>
        <w:tc>
          <w:tcPr>
            <w:tcW w:w="1144" w:type="pct"/>
            <w:tcBorders>
              <w:top w:val="single" w:sz="2" w:space="0" w:color="auto"/>
              <w:left w:val="nil"/>
              <w:bottom w:val="double" w:sz="6" w:space="0" w:color="auto"/>
              <w:right w:val="single" w:sz="12" w:space="0" w:color="auto"/>
            </w:tcBorders>
            <w:shd w:val="clear" w:color="auto" w:fill="auto"/>
            <w:vAlign w:val="center"/>
            <w:hideMark/>
          </w:tcPr>
          <w:p w:rsidR="00B45F92" w:rsidRPr="00A149AB" w:rsidRDefault="00B45F92" w:rsidP="003506D2">
            <w:pPr>
              <w:spacing w:line="276" w:lineRule="auto"/>
              <w:jc w:val="right"/>
              <w:rPr>
                <w:b/>
                <w:color w:val="000000"/>
                <w:sz w:val="22"/>
                <w:szCs w:val="22"/>
              </w:rPr>
            </w:pPr>
            <w:r w:rsidRPr="00A149AB">
              <w:rPr>
                <w:b/>
                <w:color w:val="000000"/>
                <w:sz w:val="22"/>
                <w:szCs w:val="22"/>
              </w:rPr>
              <w:t>59.430,00</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A149AB" w:rsidP="003506D2">
            <w:pPr>
              <w:spacing w:line="276" w:lineRule="auto"/>
              <w:rPr>
                <w:b/>
                <w:bCs/>
                <w:color w:val="000000"/>
                <w:sz w:val="22"/>
                <w:szCs w:val="22"/>
              </w:rPr>
            </w:pPr>
            <w:r>
              <w:rPr>
                <w:b/>
                <w:bCs/>
                <w:color w:val="000000"/>
                <w:sz w:val="22"/>
                <w:szCs w:val="22"/>
              </w:rPr>
              <w:t>Καθαρή λογιστική αξία 31.12.2020</w:t>
            </w:r>
          </w:p>
        </w:tc>
        <w:tc>
          <w:tcPr>
            <w:tcW w:w="1239" w:type="pct"/>
            <w:tcBorders>
              <w:top w:val="nil"/>
              <w:left w:val="nil"/>
              <w:bottom w:val="double" w:sz="6" w:space="0" w:color="auto"/>
              <w:right w:val="single" w:sz="12" w:space="0" w:color="auto"/>
            </w:tcBorders>
            <w:shd w:val="clear" w:color="auto" w:fill="auto"/>
            <w:vAlign w:val="center"/>
            <w:hideMark/>
          </w:tcPr>
          <w:p w:rsidR="00B45F92" w:rsidRDefault="00B45F92" w:rsidP="003506D2">
            <w:pPr>
              <w:spacing w:line="276" w:lineRule="auto"/>
              <w:jc w:val="right"/>
              <w:rPr>
                <w:b/>
                <w:bCs/>
                <w:color w:val="000000"/>
                <w:sz w:val="22"/>
                <w:szCs w:val="22"/>
              </w:rPr>
            </w:pPr>
            <w:r>
              <w:rPr>
                <w:b/>
                <w:bCs/>
                <w:color w:val="000000"/>
                <w:sz w:val="22"/>
                <w:szCs w:val="22"/>
              </w:rPr>
              <w:t>59.430,00</w:t>
            </w:r>
          </w:p>
        </w:tc>
        <w:tc>
          <w:tcPr>
            <w:tcW w:w="1144" w:type="pct"/>
            <w:tcBorders>
              <w:top w:val="nil"/>
              <w:left w:val="nil"/>
              <w:bottom w:val="double" w:sz="6" w:space="0" w:color="auto"/>
              <w:right w:val="single" w:sz="12" w:space="0" w:color="auto"/>
            </w:tcBorders>
            <w:shd w:val="clear" w:color="auto" w:fill="auto"/>
            <w:vAlign w:val="center"/>
            <w:hideMark/>
          </w:tcPr>
          <w:p w:rsidR="00B45F92" w:rsidRDefault="00B45F92" w:rsidP="003506D2">
            <w:pPr>
              <w:spacing w:line="276" w:lineRule="auto"/>
              <w:jc w:val="right"/>
              <w:rPr>
                <w:b/>
                <w:bCs/>
                <w:color w:val="000000"/>
                <w:sz w:val="22"/>
                <w:szCs w:val="22"/>
              </w:rPr>
            </w:pPr>
            <w:r>
              <w:rPr>
                <w:b/>
                <w:bCs/>
                <w:color w:val="000000"/>
                <w:sz w:val="22"/>
                <w:szCs w:val="22"/>
              </w:rPr>
              <w:t>59.430,00</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B45F92" w:rsidP="003506D2">
            <w:pPr>
              <w:spacing w:line="276" w:lineRule="auto"/>
              <w:rPr>
                <w:b/>
                <w:bCs/>
                <w:color w:val="000000"/>
                <w:sz w:val="22"/>
                <w:szCs w:val="22"/>
              </w:rPr>
            </w:pPr>
            <w:r>
              <w:rPr>
                <w:b/>
                <w:bCs/>
                <w:color w:val="000000"/>
                <w:sz w:val="22"/>
                <w:szCs w:val="22"/>
              </w:rPr>
              <w:t xml:space="preserve">Αξία κτήσεως </w:t>
            </w:r>
          </w:p>
        </w:tc>
        <w:tc>
          <w:tcPr>
            <w:tcW w:w="1239" w:type="pct"/>
            <w:tcBorders>
              <w:top w:val="nil"/>
              <w:left w:val="nil"/>
              <w:bottom w:val="nil"/>
              <w:right w:val="single" w:sz="12" w:space="0" w:color="auto"/>
            </w:tcBorders>
            <w:shd w:val="clear" w:color="auto" w:fill="auto"/>
            <w:vAlign w:val="center"/>
            <w:hideMark/>
          </w:tcPr>
          <w:p w:rsidR="00B45F92" w:rsidRDefault="00B45F92" w:rsidP="003506D2">
            <w:pPr>
              <w:spacing w:line="276" w:lineRule="auto"/>
              <w:rPr>
                <w:color w:val="000000"/>
                <w:sz w:val="22"/>
                <w:szCs w:val="22"/>
              </w:rPr>
            </w:pPr>
            <w:r>
              <w:rPr>
                <w:color w:val="000000"/>
                <w:sz w:val="22"/>
                <w:szCs w:val="22"/>
              </w:rPr>
              <w:t> </w:t>
            </w:r>
          </w:p>
        </w:tc>
        <w:tc>
          <w:tcPr>
            <w:tcW w:w="1144" w:type="pct"/>
            <w:tcBorders>
              <w:top w:val="nil"/>
              <w:left w:val="nil"/>
              <w:bottom w:val="nil"/>
              <w:right w:val="single" w:sz="12" w:space="0" w:color="auto"/>
            </w:tcBorders>
            <w:shd w:val="clear" w:color="auto" w:fill="auto"/>
            <w:vAlign w:val="center"/>
            <w:hideMark/>
          </w:tcPr>
          <w:p w:rsidR="00B45F92" w:rsidRDefault="00B45F92" w:rsidP="003506D2">
            <w:pPr>
              <w:spacing w:line="276" w:lineRule="auto"/>
              <w:rPr>
                <w:color w:val="000000"/>
                <w:sz w:val="22"/>
                <w:szCs w:val="22"/>
              </w:rPr>
            </w:pPr>
            <w:r>
              <w:rPr>
                <w:color w:val="000000"/>
                <w:sz w:val="22"/>
                <w:szCs w:val="22"/>
              </w:rPr>
              <w:t> </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250935" w:rsidP="003506D2">
            <w:pPr>
              <w:spacing w:line="276" w:lineRule="auto"/>
              <w:rPr>
                <w:color w:val="000000"/>
                <w:sz w:val="22"/>
                <w:szCs w:val="22"/>
              </w:rPr>
            </w:pPr>
            <w:r>
              <w:rPr>
                <w:color w:val="000000"/>
                <w:sz w:val="22"/>
                <w:szCs w:val="22"/>
              </w:rPr>
              <w:t>Υπόλοιπο 1.1.202</w:t>
            </w:r>
            <w:r w:rsidR="00A149AB">
              <w:rPr>
                <w:color w:val="000000"/>
                <w:sz w:val="22"/>
                <w:szCs w:val="22"/>
              </w:rPr>
              <w:t>1</w:t>
            </w:r>
          </w:p>
        </w:tc>
        <w:tc>
          <w:tcPr>
            <w:tcW w:w="1239" w:type="pct"/>
            <w:tcBorders>
              <w:top w:val="nil"/>
              <w:left w:val="nil"/>
              <w:bottom w:val="single" w:sz="2" w:space="0" w:color="auto"/>
              <w:right w:val="single" w:sz="12" w:space="0" w:color="auto"/>
            </w:tcBorders>
            <w:shd w:val="clear" w:color="auto" w:fill="auto"/>
            <w:vAlign w:val="center"/>
            <w:hideMark/>
          </w:tcPr>
          <w:p w:rsidR="00B45F92" w:rsidRDefault="00B45F92" w:rsidP="003506D2">
            <w:pPr>
              <w:spacing w:line="276" w:lineRule="auto"/>
              <w:jc w:val="right"/>
              <w:rPr>
                <w:color w:val="000000"/>
                <w:sz w:val="22"/>
                <w:szCs w:val="22"/>
              </w:rPr>
            </w:pPr>
            <w:r>
              <w:rPr>
                <w:color w:val="000000"/>
                <w:sz w:val="22"/>
                <w:szCs w:val="22"/>
              </w:rPr>
              <w:t>59.430,00</w:t>
            </w:r>
          </w:p>
        </w:tc>
        <w:tc>
          <w:tcPr>
            <w:tcW w:w="1144" w:type="pct"/>
            <w:tcBorders>
              <w:top w:val="nil"/>
              <w:left w:val="nil"/>
              <w:bottom w:val="single" w:sz="2" w:space="0" w:color="auto"/>
              <w:right w:val="single" w:sz="12" w:space="0" w:color="auto"/>
            </w:tcBorders>
            <w:shd w:val="clear" w:color="auto" w:fill="auto"/>
            <w:vAlign w:val="center"/>
            <w:hideMark/>
          </w:tcPr>
          <w:p w:rsidR="00B45F92" w:rsidRDefault="00B45F92" w:rsidP="003506D2">
            <w:pPr>
              <w:spacing w:line="276" w:lineRule="auto"/>
              <w:jc w:val="right"/>
              <w:rPr>
                <w:color w:val="000000"/>
                <w:sz w:val="22"/>
                <w:szCs w:val="22"/>
              </w:rPr>
            </w:pPr>
            <w:r>
              <w:rPr>
                <w:color w:val="000000"/>
                <w:sz w:val="22"/>
                <w:szCs w:val="22"/>
              </w:rPr>
              <w:t>59.430,00</w:t>
            </w:r>
          </w:p>
        </w:tc>
      </w:tr>
      <w:tr w:rsidR="00B45F92" w:rsidTr="00250935">
        <w:tc>
          <w:tcPr>
            <w:tcW w:w="2617" w:type="pct"/>
            <w:tcBorders>
              <w:top w:val="nil"/>
              <w:left w:val="single" w:sz="12" w:space="0" w:color="auto"/>
              <w:bottom w:val="nil"/>
              <w:right w:val="single" w:sz="12" w:space="0" w:color="auto"/>
            </w:tcBorders>
            <w:shd w:val="clear" w:color="auto" w:fill="auto"/>
            <w:vAlign w:val="center"/>
            <w:hideMark/>
          </w:tcPr>
          <w:p w:rsidR="00B45F92" w:rsidRDefault="00250935" w:rsidP="003506D2">
            <w:pPr>
              <w:spacing w:line="276" w:lineRule="auto"/>
              <w:rPr>
                <w:b/>
                <w:bCs/>
                <w:color w:val="000000"/>
                <w:sz w:val="22"/>
                <w:szCs w:val="22"/>
              </w:rPr>
            </w:pPr>
            <w:r>
              <w:rPr>
                <w:b/>
                <w:bCs/>
                <w:color w:val="000000"/>
                <w:sz w:val="22"/>
                <w:szCs w:val="22"/>
              </w:rPr>
              <w:t>Υπόλοιπο 31.12.202</w:t>
            </w:r>
            <w:r w:rsidR="00A149AB">
              <w:rPr>
                <w:b/>
                <w:bCs/>
                <w:color w:val="000000"/>
                <w:sz w:val="22"/>
                <w:szCs w:val="22"/>
              </w:rPr>
              <w:t>1</w:t>
            </w:r>
          </w:p>
        </w:tc>
        <w:tc>
          <w:tcPr>
            <w:tcW w:w="1239" w:type="pct"/>
            <w:tcBorders>
              <w:top w:val="single" w:sz="2" w:space="0" w:color="auto"/>
              <w:left w:val="nil"/>
              <w:bottom w:val="double" w:sz="6" w:space="0" w:color="auto"/>
              <w:right w:val="single" w:sz="12" w:space="0" w:color="auto"/>
            </w:tcBorders>
            <w:shd w:val="clear" w:color="auto" w:fill="auto"/>
            <w:vAlign w:val="center"/>
            <w:hideMark/>
          </w:tcPr>
          <w:p w:rsidR="00B45F92" w:rsidRPr="00A149AB" w:rsidRDefault="00B45F92" w:rsidP="003506D2">
            <w:pPr>
              <w:spacing w:line="276" w:lineRule="auto"/>
              <w:jc w:val="right"/>
              <w:rPr>
                <w:b/>
                <w:color w:val="000000"/>
                <w:sz w:val="22"/>
                <w:szCs w:val="22"/>
              </w:rPr>
            </w:pPr>
            <w:r w:rsidRPr="00A149AB">
              <w:rPr>
                <w:b/>
                <w:color w:val="000000"/>
                <w:sz w:val="22"/>
                <w:szCs w:val="22"/>
              </w:rPr>
              <w:t>59.430,00</w:t>
            </w:r>
          </w:p>
        </w:tc>
        <w:tc>
          <w:tcPr>
            <w:tcW w:w="1144" w:type="pct"/>
            <w:tcBorders>
              <w:top w:val="single" w:sz="2" w:space="0" w:color="auto"/>
              <w:left w:val="nil"/>
              <w:bottom w:val="double" w:sz="6" w:space="0" w:color="auto"/>
              <w:right w:val="single" w:sz="12" w:space="0" w:color="auto"/>
            </w:tcBorders>
            <w:shd w:val="clear" w:color="auto" w:fill="auto"/>
            <w:vAlign w:val="center"/>
            <w:hideMark/>
          </w:tcPr>
          <w:p w:rsidR="00B45F92" w:rsidRPr="00A149AB" w:rsidRDefault="00B45F92" w:rsidP="003506D2">
            <w:pPr>
              <w:spacing w:line="276" w:lineRule="auto"/>
              <w:jc w:val="right"/>
              <w:rPr>
                <w:b/>
                <w:color w:val="000000"/>
                <w:sz w:val="22"/>
                <w:szCs w:val="22"/>
              </w:rPr>
            </w:pPr>
            <w:r w:rsidRPr="00A149AB">
              <w:rPr>
                <w:b/>
                <w:color w:val="000000"/>
                <w:sz w:val="22"/>
                <w:szCs w:val="22"/>
              </w:rPr>
              <w:t>59.430,00</w:t>
            </w:r>
          </w:p>
        </w:tc>
      </w:tr>
      <w:tr w:rsidR="00B45F92" w:rsidTr="00250935">
        <w:tc>
          <w:tcPr>
            <w:tcW w:w="2617" w:type="pct"/>
            <w:tcBorders>
              <w:top w:val="nil"/>
              <w:left w:val="single" w:sz="12" w:space="0" w:color="auto"/>
              <w:bottom w:val="single" w:sz="12" w:space="0" w:color="auto"/>
              <w:right w:val="single" w:sz="12" w:space="0" w:color="auto"/>
            </w:tcBorders>
            <w:shd w:val="clear" w:color="auto" w:fill="auto"/>
            <w:vAlign w:val="center"/>
            <w:hideMark/>
          </w:tcPr>
          <w:p w:rsidR="00B45F92" w:rsidRDefault="00250935" w:rsidP="003506D2">
            <w:pPr>
              <w:spacing w:line="276" w:lineRule="auto"/>
              <w:rPr>
                <w:b/>
                <w:bCs/>
                <w:color w:val="000000"/>
                <w:sz w:val="22"/>
                <w:szCs w:val="22"/>
              </w:rPr>
            </w:pPr>
            <w:r>
              <w:rPr>
                <w:b/>
                <w:bCs/>
                <w:color w:val="000000"/>
                <w:sz w:val="22"/>
                <w:szCs w:val="22"/>
              </w:rPr>
              <w:t>Καθαρή λογιστική αξία 31.12.202</w:t>
            </w:r>
            <w:r w:rsidR="00A149AB">
              <w:rPr>
                <w:b/>
                <w:bCs/>
                <w:color w:val="000000"/>
                <w:sz w:val="22"/>
                <w:szCs w:val="22"/>
              </w:rPr>
              <w:t>1</w:t>
            </w:r>
          </w:p>
        </w:tc>
        <w:tc>
          <w:tcPr>
            <w:tcW w:w="1239" w:type="pct"/>
            <w:tcBorders>
              <w:top w:val="nil"/>
              <w:left w:val="nil"/>
              <w:bottom w:val="double" w:sz="6" w:space="0" w:color="auto"/>
              <w:right w:val="single" w:sz="12" w:space="0" w:color="auto"/>
            </w:tcBorders>
            <w:shd w:val="clear" w:color="auto" w:fill="auto"/>
            <w:vAlign w:val="center"/>
            <w:hideMark/>
          </w:tcPr>
          <w:p w:rsidR="00B45F92" w:rsidRDefault="00B45F92" w:rsidP="003506D2">
            <w:pPr>
              <w:spacing w:line="276" w:lineRule="auto"/>
              <w:jc w:val="right"/>
              <w:rPr>
                <w:b/>
                <w:bCs/>
                <w:color w:val="000000"/>
                <w:sz w:val="22"/>
                <w:szCs w:val="22"/>
              </w:rPr>
            </w:pPr>
            <w:r>
              <w:rPr>
                <w:b/>
                <w:bCs/>
                <w:color w:val="000000"/>
                <w:sz w:val="22"/>
                <w:szCs w:val="22"/>
              </w:rPr>
              <w:t>59.430,00</w:t>
            </w:r>
          </w:p>
        </w:tc>
        <w:tc>
          <w:tcPr>
            <w:tcW w:w="1144" w:type="pct"/>
            <w:tcBorders>
              <w:top w:val="nil"/>
              <w:left w:val="nil"/>
              <w:bottom w:val="double" w:sz="6" w:space="0" w:color="auto"/>
              <w:right w:val="single" w:sz="12" w:space="0" w:color="auto"/>
            </w:tcBorders>
            <w:shd w:val="clear" w:color="auto" w:fill="auto"/>
            <w:vAlign w:val="center"/>
            <w:hideMark/>
          </w:tcPr>
          <w:p w:rsidR="00B45F92" w:rsidRDefault="00B45F92" w:rsidP="003506D2">
            <w:pPr>
              <w:spacing w:line="276" w:lineRule="auto"/>
              <w:jc w:val="right"/>
              <w:rPr>
                <w:b/>
                <w:bCs/>
                <w:color w:val="000000"/>
                <w:sz w:val="22"/>
                <w:szCs w:val="22"/>
              </w:rPr>
            </w:pPr>
            <w:r>
              <w:rPr>
                <w:b/>
                <w:bCs/>
                <w:color w:val="000000"/>
                <w:sz w:val="22"/>
                <w:szCs w:val="22"/>
              </w:rPr>
              <w:t>59.430,00</w:t>
            </w:r>
          </w:p>
        </w:tc>
      </w:tr>
    </w:tbl>
    <w:p w:rsidR="00253B1B" w:rsidRDefault="00253B1B" w:rsidP="00B82D0D">
      <w:pPr>
        <w:shd w:val="clear" w:color="auto" w:fill="FFFFFF"/>
        <w:spacing w:after="200" w:line="276" w:lineRule="auto"/>
        <w:ind w:left="284" w:right="14" w:hanging="284"/>
        <w:rPr>
          <w:b/>
          <w:sz w:val="22"/>
          <w:szCs w:val="22"/>
          <w:highlight w:val="yellow"/>
        </w:rPr>
      </w:pPr>
    </w:p>
    <w:p w:rsidR="00751887" w:rsidRPr="00B45F92" w:rsidRDefault="00880694" w:rsidP="003506D2">
      <w:pPr>
        <w:shd w:val="clear" w:color="auto" w:fill="FFFFFF"/>
        <w:spacing w:after="200" w:line="312" w:lineRule="auto"/>
        <w:ind w:left="284" w:right="14" w:hanging="284"/>
        <w:rPr>
          <w:b/>
          <w:sz w:val="22"/>
          <w:szCs w:val="22"/>
        </w:rPr>
      </w:pPr>
      <w:r w:rsidRPr="00B45F92">
        <w:rPr>
          <w:b/>
          <w:sz w:val="22"/>
          <w:szCs w:val="22"/>
        </w:rPr>
        <w:t>6.3</w:t>
      </w:r>
      <w:r w:rsidR="00751887" w:rsidRPr="00B45F92">
        <w:rPr>
          <w:b/>
          <w:sz w:val="22"/>
          <w:szCs w:val="22"/>
        </w:rPr>
        <w:t>. Άυλα πάγια περιουσιακά στοιχεία</w:t>
      </w:r>
    </w:p>
    <w:tbl>
      <w:tblPr>
        <w:tblW w:w="5000" w:type="pct"/>
        <w:tblLook w:val="04A0" w:firstRow="1" w:lastRow="0" w:firstColumn="1" w:lastColumn="0" w:noHBand="0" w:noVBand="1"/>
      </w:tblPr>
      <w:tblGrid>
        <w:gridCol w:w="7498"/>
        <w:gridCol w:w="2224"/>
      </w:tblGrid>
      <w:tr w:rsidR="00A149AB" w:rsidTr="00A149AB">
        <w:trPr>
          <w:trHeight w:val="576"/>
        </w:trPr>
        <w:tc>
          <w:tcPr>
            <w:tcW w:w="385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Πίνακας μεταβολών άυλων πάγιων στοιχείων</w:t>
            </w:r>
          </w:p>
        </w:tc>
        <w:tc>
          <w:tcPr>
            <w:tcW w:w="1144"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Λοιπά άυλα στοιχεία</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Αξία κτήσεως </w:t>
            </w:r>
          </w:p>
        </w:tc>
        <w:tc>
          <w:tcPr>
            <w:tcW w:w="1144"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1.1.2020</w:t>
            </w:r>
          </w:p>
        </w:tc>
        <w:tc>
          <w:tcPr>
            <w:tcW w:w="1144"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48.782,75</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31.12.2020</w:t>
            </w:r>
          </w:p>
        </w:tc>
        <w:tc>
          <w:tcPr>
            <w:tcW w:w="1144" w:type="pct"/>
            <w:tcBorders>
              <w:top w:val="nil"/>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48.782,75</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Σωρευμένες αποσβέσεις και </w:t>
            </w:r>
            <w:proofErr w:type="spellStart"/>
            <w:r>
              <w:rPr>
                <w:b/>
                <w:bCs/>
                <w:color w:val="000000"/>
                <w:sz w:val="22"/>
                <w:szCs w:val="22"/>
              </w:rPr>
              <w:t>απομειώσεις</w:t>
            </w:r>
            <w:proofErr w:type="spellEnd"/>
          </w:p>
        </w:tc>
        <w:tc>
          <w:tcPr>
            <w:tcW w:w="1144"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1.1.2020</w:t>
            </w:r>
          </w:p>
        </w:tc>
        <w:tc>
          <w:tcPr>
            <w:tcW w:w="1144" w:type="pct"/>
            <w:tcBorders>
              <w:top w:val="nil"/>
              <w:left w:val="nil"/>
              <w:bottom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-38.643,92</w:t>
            </w:r>
          </w:p>
        </w:tc>
      </w:tr>
      <w:tr w:rsidR="00A149AB" w:rsidTr="00A149AB">
        <w:trPr>
          <w:trHeight w:val="276"/>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Αποσβέσεις περιόδου</w:t>
            </w:r>
          </w:p>
        </w:tc>
        <w:tc>
          <w:tcPr>
            <w:tcW w:w="1144"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-138,72</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31.12.2020</w:t>
            </w:r>
          </w:p>
        </w:tc>
        <w:tc>
          <w:tcPr>
            <w:tcW w:w="1144" w:type="pct"/>
            <w:tcBorders>
              <w:top w:val="nil"/>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-38.782,64</w:t>
            </w:r>
          </w:p>
        </w:tc>
      </w:tr>
      <w:tr w:rsidR="00A149AB" w:rsidTr="00A149AB">
        <w:trPr>
          <w:trHeight w:val="300"/>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Καθαρή λογιστική αξία 31.12.2020</w:t>
            </w:r>
          </w:p>
        </w:tc>
        <w:tc>
          <w:tcPr>
            <w:tcW w:w="1144"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10.000,11</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Αξία κτήσεως </w:t>
            </w:r>
          </w:p>
        </w:tc>
        <w:tc>
          <w:tcPr>
            <w:tcW w:w="1144"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1.1.2021</w:t>
            </w:r>
          </w:p>
        </w:tc>
        <w:tc>
          <w:tcPr>
            <w:tcW w:w="1144"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48.782,75</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31.12.2021</w:t>
            </w:r>
          </w:p>
        </w:tc>
        <w:tc>
          <w:tcPr>
            <w:tcW w:w="1144" w:type="pct"/>
            <w:tcBorders>
              <w:top w:val="nil"/>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48.782,75</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 xml:space="preserve">Σωρευμένες αποσβέσεις και </w:t>
            </w:r>
            <w:proofErr w:type="spellStart"/>
            <w:r>
              <w:rPr>
                <w:b/>
                <w:bCs/>
                <w:color w:val="000000"/>
                <w:sz w:val="22"/>
                <w:szCs w:val="22"/>
              </w:rPr>
              <w:t>απομειώσεις</w:t>
            </w:r>
            <w:proofErr w:type="spellEnd"/>
          </w:p>
        </w:tc>
        <w:tc>
          <w:tcPr>
            <w:tcW w:w="1144" w:type="pct"/>
            <w:tcBorders>
              <w:top w:val="nil"/>
              <w:left w:val="nil"/>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 </w:t>
            </w:r>
          </w:p>
        </w:tc>
      </w:tr>
      <w:tr w:rsidR="00A149AB" w:rsidTr="00A149AB">
        <w:trPr>
          <w:trHeight w:val="276"/>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Υπόλοιπο 1.1.2021</w:t>
            </w:r>
          </w:p>
        </w:tc>
        <w:tc>
          <w:tcPr>
            <w:tcW w:w="1144" w:type="pct"/>
            <w:tcBorders>
              <w:top w:val="nil"/>
              <w:left w:val="nil"/>
              <w:bottom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-38.782,64</w:t>
            </w:r>
          </w:p>
        </w:tc>
      </w:tr>
      <w:tr w:rsidR="00A149AB" w:rsidTr="00A149AB">
        <w:trPr>
          <w:trHeight w:val="276"/>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Αποσβέσεις περιόδου</w:t>
            </w:r>
          </w:p>
        </w:tc>
        <w:tc>
          <w:tcPr>
            <w:tcW w:w="1144"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0,00</w:t>
            </w:r>
          </w:p>
        </w:tc>
      </w:tr>
      <w:tr w:rsidR="00A149AB" w:rsidTr="00A149AB">
        <w:trPr>
          <w:trHeight w:val="288"/>
        </w:trPr>
        <w:tc>
          <w:tcPr>
            <w:tcW w:w="3856" w:type="pct"/>
            <w:tcBorders>
              <w:top w:val="nil"/>
              <w:left w:val="single" w:sz="12" w:space="0" w:color="auto"/>
              <w:bottom w:val="nil"/>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Υπόλοιπο 31.12.2021</w:t>
            </w:r>
          </w:p>
        </w:tc>
        <w:tc>
          <w:tcPr>
            <w:tcW w:w="1144" w:type="pct"/>
            <w:tcBorders>
              <w:top w:val="nil"/>
              <w:left w:val="nil"/>
              <w:bottom w:val="double" w:sz="6" w:space="0" w:color="auto"/>
              <w:right w:val="single" w:sz="12" w:space="0" w:color="auto"/>
            </w:tcBorders>
            <w:shd w:val="clear" w:color="auto" w:fill="auto"/>
            <w:vAlign w:val="center"/>
            <w:hideMark/>
          </w:tcPr>
          <w:p w:rsidR="00A149AB" w:rsidRPr="00A149AB" w:rsidRDefault="00A149AB">
            <w:pPr>
              <w:jc w:val="right"/>
              <w:rPr>
                <w:b/>
                <w:color w:val="000000"/>
                <w:sz w:val="22"/>
                <w:szCs w:val="22"/>
              </w:rPr>
            </w:pPr>
            <w:r w:rsidRPr="00A149AB">
              <w:rPr>
                <w:b/>
                <w:color w:val="000000"/>
                <w:sz w:val="22"/>
                <w:szCs w:val="22"/>
              </w:rPr>
              <w:t>-38.782,64</w:t>
            </w:r>
          </w:p>
        </w:tc>
      </w:tr>
      <w:tr w:rsidR="00A149AB" w:rsidTr="00A149AB">
        <w:trPr>
          <w:trHeight w:val="300"/>
        </w:trPr>
        <w:tc>
          <w:tcPr>
            <w:tcW w:w="3856" w:type="pct"/>
            <w:tcBorders>
              <w:top w:val="nil"/>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Καθαρή λογιστική αξία 31.12.2021</w:t>
            </w:r>
          </w:p>
        </w:tc>
        <w:tc>
          <w:tcPr>
            <w:tcW w:w="1144"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10.000,11</w:t>
            </w:r>
          </w:p>
        </w:tc>
      </w:tr>
    </w:tbl>
    <w:p w:rsidR="00B45F92" w:rsidRDefault="00B45F92" w:rsidP="003506D2">
      <w:pPr>
        <w:shd w:val="clear" w:color="auto" w:fill="FFFFFF"/>
        <w:spacing w:after="200" w:line="312" w:lineRule="auto"/>
        <w:ind w:left="284" w:right="14" w:hanging="284"/>
        <w:rPr>
          <w:b/>
          <w:sz w:val="22"/>
          <w:szCs w:val="22"/>
          <w:highlight w:val="yellow"/>
        </w:rPr>
      </w:pPr>
    </w:p>
    <w:p w:rsidR="00CA307D" w:rsidRPr="00B45F92" w:rsidRDefault="002C6135" w:rsidP="003506D2">
      <w:pPr>
        <w:pStyle w:val="1"/>
        <w:spacing w:line="312" w:lineRule="auto"/>
        <w:jc w:val="left"/>
      </w:pPr>
      <w:bookmarkStart w:id="31" w:name="_Toc488058539"/>
      <w:bookmarkStart w:id="32" w:name="_Toc15546000"/>
      <w:r w:rsidRPr="00B45F92">
        <w:t>7</w:t>
      </w:r>
      <w:r w:rsidR="00BA3252" w:rsidRPr="00B45F92">
        <w:t xml:space="preserve">. Χρηματοοικονομικά </w:t>
      </w:r>
      <w:r w:rsidR="00C75F51" w:rsidRPr="00B45F92">
        <w:t>περιουσιακ</w:t>
      </w:r>
      <w:r w:rsidR="00BA3252" w:rsidRPr="00B45F92">
        <w:t>ά</w:t>
      </w:r>
      <w:r w:rsidR="00C75F51" w:rsidRPr="00B45F92">
        <w:t xml:space="preserve"> στοιχεί</w:t>
      </w:r>
      <w:r w:rsidR="00BA3252" w:rsidRPr="00B45F92">
        <w:t>α</w:t>
      </w:r>
      <w:bookmarkEnd w:id="31"/>
      <w:bookmarkEnd w:id="32"/>
    </w:p>
    <w:p w:rsidR="00B45F92" w:rsidRPr="00B45F92" w:rsidRDefault="00B45F92" w:rsidP="003506D2">
      <w:pPr>
        <w:spacing w:line="312" w:lineRule="auto"/>
        <w:rPr>
          <w:lang w:val="x-none" w:eastAsia="en-US"/>
        </w:rPr>
      </w:pPr>
    </w:p>
    <w:p w:rsidR="00CA307D" w:rsidRPr="00B45F92" w:rsidRDefault="00CA307D" w:rsidP="003506D2">
      <w:pPr>
        <w:shd w:val="clear" w:color="auto" w:fill="FFFFFF"/>
        <w:spacing w:after="200" w:line="312" w:lineRule="auto"/>
        <w:ind w:left="284" w:right="14" w:hanging="284"/>
        <w:rPr>
          <w:b/>
          <w:sz w:val="22"/>
          <w:szCs w:val="22"/>
        </w:rPr>
      </w:pPr>
      <w:r w:rsidRPr="00B45F92">
        <w:rPr>
          <w:b/>
          <w:sz w:val="22"/>
          <w:szCs w:val="22"/>
        </w:rPr>
        <w:t>7.1 Αποτίμηση στην εύλογη αξία</w:t>
      </w:r>
    </w:p>
    <w:p w:rsidR="00A12EF0" w:rsidRPr="00B45F92" w:rsidRDefault="00A12EF0" w:rsidP="003506D2">
      <w:pPr>
        <w:shd w:val="clear" w:color="auto" w:fill="FFFFFF"/>
        <w:spacing w:after="200" w:line="312" w:lineRule="auto"/>
        <w:ind w:left="5" w:right="14" w:firstLine="562"/>
        <w:jc w:val="both"/>
      </w:pPr>
      <w:r w:rsidRPr="00B45F92">
        <w:rPr>
          <w:sz w:val="22"/>
          <w:szCs w:val="22"/>
        </w:rPr>
        <w:t xml:space="preserve">Δεν υπάρχουν χρηματοοικονομικά στοιχεία που να αποτιμώνται στην εύλογη αξία. </w:t>
      </w:r>
    </w:p>
    <w:p w:rsidR="00CA307D" w:rsidRPr="00B45F92" w:rsidRDefault="00CA307D" w:rsidP="003506D2">
      <w:pPr>
        <w:shd w:val="clear" w:color="auto" w:fill="FFFFFF"/>
        <w:spacing w:after="200" w:line="312" w:lineRule="auto"/>
        <w:ind w:left="284" w:right="14" w:hanging="284"/>
        <w:rPr>
          <w:b/>
          <w:sz w:val="22"/>
          <w:szCs w:val="22"/>
        </w:rPr>
      </w:pPr>
      <w:r w:rsidRPr="00B45F92">
        <w:rPr>
          <w:b/>
          <w:sz w:val="22"/>
          <w:szCs w:val="22"/>
        </w:rPr>
        <w:t>7.2 Αποτίμηση στο κόστος κτήσεως</w:t>
      </w:r>
    </w:p>
    <w:p w:rsidR="00BA3252" w:rsidRPr="00B45F92" w:rsidRDefault="00BA3252" w:rsidP="003506D2">
      <w:pPr>
        <w:shd w:val="clear" w:color="auto" w:fill="FFFFFF"/>
        <w:spacing w:after="200" w:line="312" w:lineRule="auto"/>
        <w:ind w:left="284" w:right="14" w:hanging="284"/>
        <w:rPr>
          <w:b/>
          <w:sz w:val="22"/>
          <w:szCs w:val="22"/>
        </w:rPr>
      </w:pPr>
      <w:r w:rsidRPr="00B45F92">
        <w:rPr>
          <w:b/>
          <w:sz w:val="22"/>
          <w:szCs w:val="22"/>
        </w:rPr>
        <w:t>7.2.1 Εμπορικές απαιτήσεις</w:t>
      </w:r>
    </w:p>
    <w:p w:rsidR="00A258EC" w:rsidRDefault="00A258EC" w:rsidP="003506D2">
      <w:pPr>
        <w:shd w:val="clear" w:color="auto" w:fill="FFFFFF"/>
        <w:spacing w:after="200" w:line="312" w:lineRule="auto"/>
        <w:ind w:left="284" w:right="14"/>
        <w:rPr>
          <w:sz w:val="22"/>
          <w:szCs w:val="22"/>
        </w:rPr>
      </w:pPr>
      <w:r>
        <w:rPr>
          <w:sz w:val="22"/>
          <w:szCs w:val="22"/>
          <w:lang w:val="en-US"/>
        </w:rPr>
        <w:t xml:space="preserve">Oi </w:t>
      </w:r>
      <w:r w:rsidR="00BA3252" w:rsidRPr="00B45F92">
        <w:rPr>
          <w:sz w:val="22"/>
          <w:szCs w:val="22"/>
        </w:rPr>
        <w:t>εμπορικές απαιτήσεις</w:t>
      </w:r>
      <w:r>
        <w:rPr>
          <w:sz w:val="22"/>
          <w:szCs w:val="22"/>
        </w:rPr>
        <w:t xml:space="preserve"> αναλύονται:</w:t>
      </w:r>
    </w:p>
    <w:p w:rsidR="00A149AB" w:rsidRDefault="00A149AB" w:rsidP="003506D2">
      <w:pPr>
        <w:shd w:val="clear" w:color="auto" w:fill="FFFFFF"/>
        <w:spacing w:after="200" w:line="312" w:lineRule="auto"/>
        <w:ind w:left="284" w:right="14"/>
        <w:rPr>
          <w:sz w:val="22"/>
          <w:szCs w:val="22"/>
          <w:lang w:val="en-US"/>
        </w:rPr>
      </w:pPr>
    </w:p>
    <w:tbl>
      <w:tblPr>
        <w:tblW w:w="5000" w:type="pct"/>
        <w:tblLook w:val="04A0" w:firstRow="1" w:lastRow="0" w:firstColumn="1" w:lastColumn="0" w:noHBand="0" w:noVBand="1"/>
      </w:tblPr>
      <w:tblGrid>
        <w:gridCol w:w="5331"/>
        <w:gridCol w:w="2248"/>
        <w:gridCol w:w="2143"/>
      </w:tblGrid>
      <w:tr w:rsidR="00A149AB" w:rsidTr="00A149AB">
        <w:trPr>
          <w:trHeight w:val="300"/>
        </w:trPr>
        <w:tc>
          <w:tcPr>
            <w:tcW w:w="274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Εμπορικές απαιτήσεις</w:t>
            </w:r>
          </w:p>
        </w:tc>
        <w:tc>
          <w:tcPr>
            <w:tcW w:w="1156"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31/12/21</w:t>
            </w:r>
          </w:p>
        </w:tc>
        <w:tc>
          <w:tcPr>
            <w:tcW w:w="1102"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31/12/20</w:t>
            </w:r>
          </w:p>
        </w:tc>
      </w:tr>
      <w:tr w:rsidR="00A149AB" w:rsidTr="00A149AB">
        <w:trPr>
          <w:trHeight w:val="300"/>
        </w:trPr>
        <w:tc>
          <w:tcPr>
            <w:tcW w:w="2742"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Πελάτες</w:t>
            </w:r>
          </w:p>
        </w:tc>
        <w:tc>
          <w:tcPr>
            <w:tcW w:w="1156" w:type="pct"/>
            <w:tcBorders>
              <w:top w:val="nil"/>
              <w:left w:val="nil"/>
              <w:bottom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248,00</w:t>
            </w:r>
          </w:p>
        </w:tc>
        <w:tc>
          <w:tcPr>
            <w:tcW w:w="1102" w:type="pct"/>
            <w:tcBorders>
              <w:top w:val="nil"/>
              <w:left w:val="nil"/>
              <w:bottom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124,00</w:t>
            </w:r>
          </w:p>
        </w:tc>
      </w:tr>
      <w:tr w:rsidR="00A149AB" w:rsidTr="00A149AB">
        <w:trPr>
          <w:trHeight w:val="288"/>
        </w:trPr>
        <w:tc>
          <w:tcPr>
            <w:tcW w:w="2742" w:type="pct"/>
            <w:tcBorders>
              <w:top w:val="nil"/>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Σύνολο</w:t>
            </w:r>
          </w:p>
        </w:tc>
        <w:tc>
          <w:tcPr>
            <w:tcW w:w="1156" w:type="pct"/>
            <w:tcBorders>
              <w:top w:val="single" w:sz="8" w:space="0" w:color="auto"/>
              <w:left w:val="nil"/>
              <w:bottom w:val="single" w:sz="8"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248,00</w:t>
            </w:r>
          </w:p>
        </w:tc>
        <w:tc>
          <w:tcPr>
            <w:tcW w:w="1102" w:type="pct"/>
            <w:tcBorders>
              <w:top w:val="single" w:sz="8" w:space="0" w:color="auto"/>
              <w:left w:val="nil"/>
              <w:bottom w:val="single" w:sz="8" w:space="0" w:color="auto"/>
              <w:right w:val="single" w:sz="8"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124,00</w:t>
            </w:r>
          </w:p>
        </w:tc>
      </w:tr>
    </w:tbl>
    <w:p w:rsidR="00A258EC" w:rsidRDefault="00A258EC" w:rsidP="003506D2">
      <w:pPr>
        <w:shd w:val="clear" w:color="auto" w:fill="FFFFFF"/>
        <w:spacing w:after="200" w:line="312" w:lineRule="auto"/>
        <w:ind w:left="284" w:right="14"/>
        <w:rPr>
          <w:sz w:val="22"/>
          <w:szCs w:val="22"/>
          <w:lang w:val="en-US"/>
        </w:rPr>
      </w:pPr>
    </w:p>
    <w:p w:rsidR="00BA3252" w:rsidRPr="00B45F92" w:rsidRDefault="00BA3252" w:rsidP="003506D2">
      <w:pPr>
        <w:shd w:val="clear" w:color="auto" w:fill="FFFFFF"/>
        <w:spacing w:after="200" w:line="312" w:lineRule="auto"/>
        <w:ind w:left="284" w:right="14"/>
        <w:rPr>
          <w:sz w:val="22"/>
          <w:szCs w:val="22"/>
        </w:rPr>
      </w:pPr>
      <w:r w:rsidRPr="00B45F92">
        <w:rPr>
          <w:sz w:val="22"/>
          <w:szCs w:val="22"/>
        </w:rPr>
        <w:t xml:space="preserve"> </w:t>
      </w:r>
    </w:p>
    <w:p w:rsidR="00BA3252" w:rsidRPr="00B45F92" w:rsidRDefault="00BA3252" w:rsidP="003506D2">
      <w:pPr>
        <w:shd w:val="clear" w:color="auto" w:fill="FFFFFF"/>
        <w:spacing w:after="200" w:line="312" w:lineRule="auto"/>
        <w:ind w:left="284" w:right="14" w:hanging="284"/>
        <w:rPr>
          <w:b/>
          <w:sz w:val="22"/>
          <w:szCs w:val="22"/>
        </w:rPr>
      </w:pPr>
      <w:r w:rsidRPr="00B45F92">
        <w:rPr>
          <w:b/>
          <w:sz w:val="22"/>
          <w:szCs w:val="22"/>
        </w:rPr>
        <w:t>7.2.2 Λοιπές απαιτήσεις</w:t>
      </w:r>
    </w:p>
    <w:p w:rsidR="00BA3252" w:rsidRDefault="00BA3252" w:rsidP="003506D2">
      <w:pPr>
        <w:shd w:val="clear" w:color="auto" w:fill="FFFFFF"/>
        <w:spacing w:after="200" w:line="312" w:lineRule="auto"/>
        <w:ind w:left="284" w:right="14"/>
        <w:rPr>
          <w:sz w:val="22"/>
          <w:szCs w:val="22"/>
        </w:rPr>
      </w:pPr>
      <w:r w:rsidRPr="00B45F92">
        <w:rPr>
          <w:sz w:val="22"/>
          <w:szCs w:val="22"/>
        </w:rPr>
        <w:t>Οι λοιπές απαιτήσεις αναλύονται στον κατωτέρω πίνακα:</w:t>
      </w:r>
    </w:p>
    <w:tbl>
      <w:tblPr>
        <w:tblW w:w="5000" w:type="pct"/>
        <w:tblLook w:val="04A0" w:firstRow="1" w:lastRow="0" w:firstColumn="1" w:lastColumn="0" w:noHBand="0" w:noVBand="1"/>
      </w:tblPr>
      <w:tblGrid>
        <w:gridCol w:w="5389"/>
        <w:gridCol w:w="2219"/>
        <w:gridCol w:w="2114"/>
      </w:tblGrid>
      <w:tr w:rsidR="00A149AB" w:rsidTr="00A149AB">
        <w:trPr>
          <w:trHeight w:val="300"/>
        </w:trPr>
        <w:tc>
          <w:tcPr>
            <w:tcW w:w="277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lastRenderedPageBreak/>
              <w:t>Λοιπές απαιτήσεις</w:t>
            </w:r>
          </w:p>
        </w:tc>
        <w:tc>
          <w:tcPr>
            <w:tcW w:w="1141"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31/12/21</w:t>
            </w:r>
          </w:p>
        </w:tc>
        <w:tc>
          <w:tcPr>
            <w:tcW w:w="1088"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31/12/20</w:t>
            </w:r>
          </w:p>
        </w:tc>
      </w:tr>
      <w:tr w:rsidR="00A149AB" w:rsidTr="00A149AB">
        <w:trPr>
          <w:trHeight w:val="288"/>
        </w:trPr>
        <w:tc>
          <w:tcPr>
            <w:tcW w:w="2772"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Χρεώστες διάφοροι</w:t>
            </w:r>
          </w:p>
        </w:tc>
        <w:tc>
          <w:tcPr>
            <w:tcW w:w="1141" w:type="pct"/>
            <w:tcBorders>
              <w:top w:val="nil"/>
              <w:left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33.365,26</w:t>
            </w:r>
          </w:p>
        </w:tc>
        <w:tc>
          <w:tcPr>
            <w:tcW w:w="1088" w:type="pct"/>
            <w:tcBorders>
              <w:top w:val="nil"/>
              <w:left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33.706,16</w:t>
            </w:r>
          </w:p>
        </w:tc>
      </w:tr>
      <w:tr w:rsidR="00A149AB" w:rsidTr="00A149AB">
        <w:trPr>
          <w:trHeight w:val="276"/>
        </w:trPr>
        <w:tc>
          <w:tcPr>
            <w:tcW w:w="2772"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Χρεωστικά Υπόλοιπα Προμηθευτών</w:t>
            </w:r>
          </w:p>
        </w:tc>
        <w:tc>
          <w:tcPr>
            <w:tcW w:w="1141"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1.836,42</w:t>
            </w:r>
          </w:p>
        </w:tc>
        <w:tc>
          <w:tcPr>
            <w:tcW w:w="1088"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1.119,25</w:t>
            </w:r>
          </w:p>
        </w:tc>
      </w:tr>
      <w:tr w:rsidR="00A149AB" w:rsidTr="00A149AB">
        <w:trPr>
          <w:trHeight w:val="288"/>
        </w:trPr>
        <w:tc>
          <w:tcPr>
            <w:tcW w:w="2772" w:type="pct"/>
            <w:tcBorders>
              <w:top w:val="nil"/>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Σύνολο</w:t>
            </w:r>
          </w:p>
        </w:tc>
        <w:tc>
          <w:tcPr>
            <w:tcW w:w="1141" w:type="pct"/>
            <w:tcBorders>
              <w:top w:val="single" w:sz="4" w:space="0" w:color="auto"/>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35.201,68</w:t>
            </w:r>
          </w:p>
        </w:tc>
        <w:tc>
          <w:tcPr>
            <w:tcW w:w="1088" w:type="pct"/>
            <w:tcBorders>
              <w:top w:val="single" w:sz="4" w:space="0" w:color="auto"/>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34.825,41</w:t>
            </w:r>
          </w:p>
        </w:tc>
      </w:tr>
    </w:tbl>
    <w:p w:rsidR="00777970" w:rsidRDefault="00777970" w:rsidP="003506D2">
      <w:pPr>
        <w:shd w:val="clear" w:color="auto" w:fill="FFFFFF"/>
        <w:spacing w:after="200" w:line="312" w:lineRule="auto"/>
        <w:ind w:left="284" w:right="14"/>
        <w:rPr>
          <w:sz w:val="22"/>
          <w:szCs w:val="22"/>
        </w:rPr>
      </w:pPr>
    </w:p>
    <w:p w:rsidR="00A52886" w:rsidRPr="00B45F92" w:rsidRDefault="00A52886" w:rsidP="00A52886">
      <w:pPr>
        <w:shd w:val="clear" w:color="auto" w:fill="FFFFFF"/>
        <w:spacing w:after="200" w:line="276" w:lineRule="auto"/>
        <w:ind w:left="284" w:right="14" w:hanging="284"/>
        <w:rPr>
          <w:b/>
          <w:sz w:val="22"/>
          <w:szCs w:val="22"/>
        </w:rPr>
      </w:pPr>
      <w:r w:rsidRPr="00B45F92">
        <w:rPr>
          <w:b/>
          <w:sz w:val="22"/>
          <w:szCs w:val="22"/>
        </w:rPr>
        <w:t xml:space="preserve">7.2.3 </w:t>
      </w:r>
      <w:r w:rsidR="00FC253D" w:rsidRPr="00B45F92">
        <w:rPr>
          <w:b/>
          <w:sz w:val="22"/>
          <w:szCs w:val="22"/>
        </w:rPr>
        <w:t xml:space="preserve">Ταμειακά </w:t>
      </w:r>
      <w:r w:rsidRPr="00B45F92">
        <w:rPr>
          <w:b/>
          <w:sz w:val="22"/>
          <w:szCs w:val="22"/>
        </w:rPr>
        <w:t>διαθέσιμα</w:t>
      </w:r>
      <w:r w:rsidR="00FC253D" w:rsidRPr="00B45F92">
        <w:rPr>
          <w:b/>
          <w:sz w:val="22"/>
          <w:szCs w:val="22"/>
        </w:rPr>
        <w:t xml:space="preserve"> και ισοδύναμα</w:t>
      </w:r>
    </w:p>
    <w:p w:rsidR="00A52886" w:rsidRPr="00B45F92" w:rsidRDefault="00A52886" w:rsidP="00A52886">
      <w:pPr>
        <w:shd w:val="clear" w:color="auto" w:fill="FFFFFF"/>
        <w:spacing w:after="200" w:line="276" w:lineRule="auto"/>
        <w:ind w:left="284" w:right="14"/>
        <w:rPr>
          <w:sz w:val="22"/>
          <w:szCs w:val="22"/>
        </w:rPr>
      </w:pPr>
      <w:r w:rsidRPr="00B45F92">
        <w:rPr>
          <w:sz w:val="22"/>
          <w:szCs w:val="22"/>
        </w:rPr>
        <w:t xml:space="preserve">Τα </w:t>
      </w:r>
      <w:r w:rsidR="00FC253D" w:rsidRPr="00B45F92">
        <w:rPr>
          <w:sz w:val="22"/>
          <w:szCs w:val="22"/>
        </w:rPr>
        <w:t xml:space="preserve">ταμειακά διαθέσιμα και ισοδύναμα </w:t>
      </w:r>
      <w:r w:rsidRPr="00B45F92">
        <w:rPr>
          <w:sz w:val="22"/>
          <w:szCs w:val="22"/>
        </w:rPr>
        <w:t>αναλύονται στον κατωτέρω πίνακα:</w:t>
      </w:r>
    </w:p>
    <w:tbl>
      <w:tblPr>
        <w:tblW w:w="5000" w:type="pct"/>
        <w:tblLook w:val="04A0" w:firstRow="1" w:lastRow="0" w:firstColumn="1" w:lastColumn="0" w:noHBand="0" w:noVBand="1"/>
      </w:tblPr>
      <w:tblGrid>
        <w:gridCol w:w="5373"/>
        <w:gridCol w:w="2267"/>
        <w:gridCol w:w="2082"/>
      </w:tblGrid>
      <w:tr w:rsidR="00A149AB" w:rsidTr="00A149AB">
        <w:trPr>
          <w:trHeight w:val="300"/>
        </w:trPr>
        <w:tc>
          <w:tcPr>
            <w:tcW w:w="2763"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Ταμειακά διαθέσιμα και ισοδύναμα</w:t>
            </w:r>
          </w:p>
        </w:tc>
        <w:tc>
          <w:tcPr>
            <w:tcW w:w="1166"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31/12/21</w:t>
            </w:r>
          </w:p>
        </w:tc>
        <w:tc>
          <w:tcPr>
            <w:tcW w:w="1071"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31/12/20</w:t>
            </w:r>
          </w:p>
        </w:tc>
      </w:tr>
      <w:tr w:rsidR="00A149AB" w:rsidTr="00A149AB">
        <w:trPr>
          <w:trHeight w:val="288"/>
        </w:trPr>
        <w:tc>
          <w:tcPr>
            <w:tcW w:w="2763"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Ταμείο</w:t>
            </w:r>
          </w:p>
        </w:tc>
        <w:tc>
          <w:tcPr>
            <w:tcW w:w="1166" w:type="pct"/>
            <w:tcBorders>
              <w:top w:val="nil"/>
              <w:left w:val="nil"/>
              <w:bottom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295,03</w:t>
            </w:r>
          </w:p>
        </w:tc>
        <w:tc>
          <w:tcPr>
            <w:tcW w:w="1071" w:type="pct"/>
            <w:tcBorders>
              <w:top w:val="nil"/>
              <w:left w:val="nil"/>
              <w:bottom w:val="nil"/>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69,03</w:t>
            </w:r>
          </w:p>
        </w:tc>
      </w:tr>
      <w:tr w:rsidR="00A149AB" w:rsidTr="00A149AB">
        <w:trPr>
          <w:trHeight w:val="276"/>
        </w:trPr>
        <w:tc>
          <w:tcPr>
            <w:tcW w:w="2763"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Καταθέσεις όψεως</w:t>
            </w:r>
          </w:p>
        </w:tc>
        <w:tc>
          <w:tcPr>
            <w:tcW w:w="1166"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4.788,26</w:t>
            </w:r>
          </w:p>
        </w:tc>
        <w:tc>
          <w:tcPr>
            <w:tcW w:w="1071" w:type="pct"/>
            <w:tcBorders>
              <w:top w:val="nil"/>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6.189,09</w:t>
            </w:r>
          </w:p>
        </w:tc>
      </w:tr>
      <w:tr w:rsidR="00A149AB" w:rsidTr="00A149AB">
        <w:trPr>
          <w:trHeight w:val="288"/>
        </w:trPr>
        <w:tc>
          <w:tcPr>
            <w:tcW w:w="2763" w:type="pct"/>
            <w:tcBorders>
              <w:top w:val="nil"/>
              <w:left w:val="single" w:sz="12" w:space="0" w:color="auto"/>
              <w:bottom w:val="single" w:sz="12" w:space="0" w:color="auto"/>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Σύνολο</w:t>
            </w:r>
          </w:p>
        </w:tc>
        <w:tc>
          <w:tcPr>
            <w:tcW w:w="1166"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5.083,29</w:t>
            </w:r>
          </w:p>
        </w:tc>
        <w:tc>
          <w:tcPr>
            <w:tcW w:w="1071" w:type="pct"/>
            <w:tcBorders>
              <w:top w:val="nil"/>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6.258,12</w:t>
            </w:r>
          </w:p>
        </w:tc>
      </w:tr>
    </w:tbl>
    <w:p w:rsidR="00B45F92" w:rsidRDefault="00B45F92" w:rsidP="00A52886">
      <w:pPr>
        <w:shd w:val="clear" w:color="auto" w:fill="FFFFFF"/>
        <w:spacing w:after="200" w:line="276" w:lineRule="auto"/>
        <w:ind w:left="284" w:right="14"/>
        <w:rPr>
          <w:sz w:val="22"/>
          <w:szCs w:val="22"/>
          <w:highlight w:val="yellow"/>
        </w:rPr>
      </w:pPr>
    </w:p>
    <w:p w:rsidR="00FF2F42" w:rsidRPr="00B45F92" w:rsidRDefault="00CA307D" w:rsidP="006949A7">
      <w:pPr>
        <w:pStyle w:val="1"/>
        <w:jc w:val="left"/>
      </w:pPr>
      <w:bookmarkStart w:id="33" w:name="_Toc488058540"/>
      <w:bookmarkStart w:id="34" w:name="_Toc15546001"/>
      <w:r w:rsidRPr="00B45F92">
        <w:t>8</w:t>
      </w:r>
      <w:r w:rsidR="00FF2F42" w:rsidRPr="00B45F92">
        <w:t>. Λ</w:t>
      </w:r>
      <w:r w:rsidR="00C75F51" w:rsidRPr="00B45F92">
        <w:t>ογαριασμοί καθαρής θέσεως</w:t>
      </w:r>
      <w:bookmarkEnd w:id="33"/>
      <w:bookmarkEnd w:id="34"/>
    </w:p>
    <w:p w:rsidR="000F132F" w:rsidRPr="00B45F92" w:rsidRDefault="000F132F" w:rsidP="000F132F">
      <w:pPr>
        <w:rPr>
          <w:sz w:val="16"/>
          <w:szCs w:val="16"/>
          <w:lang w:eastAsia="en-US"/>
        </w:rPr>
      </w:pPr>
    </w:p>
    <w:p w:rsidR="00FF2F42" w:rsidRPr="00B45F92" w:rsidRDefault="00FF2F42" w:rsidP="00B82D0D">
      <w:pPr>
        <w:shd w:val="clear" w:color="auto" w:fill="FFFFFF"/>
        <w:spacing w:after="200" w:line="276" w:lineRule="auto"/>
        <w:ind w:left="5" w:right="14" w:firstLine="562"/>
        <w:jc w:val="both"/>
        <w:rPr>
          <w:sz w:val="22"/>
          <w:szCs w:val="22"/>
        </w:rPr>
      </w:pPr>
      <w:r w:rsidRPr="00B45F92">
        <w:rPr>
          <w:sz w:val="22"/>
          <w:szCs w:val="22"/>
        </w:rPr>
        <w:t xml:space="preserve">Το καταβλημένο μετοχικό κεφάλαιο της εταιρείας διαιρείται σε </w:t>
      </w:r>
      <w:r w:rsidR="000565DD" w:rsidRPr="00B45F92">
        <w:rPr>
          <w:sz w:val="22"/>
          <w:szCs w:val="22"/>
        </w:rPr>
        <w:t>1.005.500</w:t>
      </w:r>
      <w:r w:rsidRPr="00B45F92">
        <w:rPr>
          <w:sz w:val="22"/>
          <w:szCs w:val="22"/>
        </w:rPr>
        <w:t xml:space="preserve"> κοινές με δικαίωμα ψήφου μετοχές ονομαστικής αξίας € </w:t>
      </w:r>
      <w:r w:rsidR="00B73794" w:rsidRPr="00B45F92">
        <w:rPr>
          <w:sz w:val="22"/>
          <w:szCs w:val="22"/>
        </w:rPr>
        <w:t>1,00</w:t>
      </w:r>
      <w:r w:rsidRPr="00B45F92">
        <w:rPr>
          <w:sz w:val="22"/>
          <w:szCs w:val="22"/>
        </w:rPr>
        <w:t xml:space="preserve"> η κάθε μία και ανέρχεται σε € </w:t>
      </w:r>
      <w:r w:rsidR="00B73794" w:rsidRPr="00B45F92">
        <w:rPr>
          <w:sz w:val="22"/>
          <w:szCs w:val="22"/>
        </w:rPr>
        <w:t>1.005.500,00</w:t>
      </w:r>
      <w:r w:rsidRPr="00B45F92">
        <w:rPr>
          <w:sz w:val="22"/>
          <w:szCs w:val="22"/>
        </w:rPr>
        <w:t>.</w:t>
      </w:r>
      <w:r w:rsidR="009E761E" w:rsidRPr="00B45F92">
        <w:rPr>
          <w:sz w:val="22"/>
          <w:szCs w:val="22"/>
        </w:rPr>
        <w:t xml:space="preserve"> </w:t>
      </w:r>
      <w:r w:rsidR="00FA1785" w:rsidRPr="00B45F92">
        <w:rPr>
          <w:sz w:val="22"/>
          <w:szCs w:val="22"/>
        </w:rPr>
        <w:t xml:space="preserve">Το αποθεματικό υπέρ το άρτιο </w:t>
      </w:r>
      <w:r w:rsidR="0042763F" w:rsidRPr="00B45F92">
        <w:rPr>
          <w:sz w:val="22"/>
          <w:szCs w:val="22"/>
        </w:rPr>
        <w:t xml:space="preserve">ανέρχεται στο ποσό </w:t>
      </w:r>
      <w:r w:rsidR="00FA1785" w:rsidRPr="00B45F92">
        <w:rPr>
          <w:sz w:val="22"/>
          <w:szCs w:val="22"/>
        </w:rPr>
        <w:t>€ 1.336.500,00</w:t>
      </w:r>
      <w:r w:rsidR="001E115A" w:rsidRPr="00B45F92">
        <w:rPr>
          <w:sz w:val="22"/>
          <w:szCs w:val="22"/>
        </w:rPr>
        <w:t>.</w:t>
      </w:r>
    </w:p>
    <w:p w:rsidR="006065B5" w:rsidRPr="00B45F92" w:rsidRDefault="006065B5" w:rsidP="00F92EA8">
      <w:pPr>
        <w:pStyle w:val="a8"/>
      </w:pPr>
    </w:p>
    <w:p w:rsidR="00F125A1" w:rsidRPr="00B45F92" w:rsidRDefault="00FF2F42" w:rsidP="00F14C81">
      <w:pPr>
        <w:pStyle w:val="1"/>
        <w:jc w:val="left"/>
        <w:rPr>
          <w:lang w:val="el-GR"/>
        </w:rPr>
      </w:pPr>
      <w:bookmarkStart w:id="35" w:name="_Toc488058541"/>
      <w:bookmarkStart w:id="36" w:name="_Toc15546002"/>
      <w:r w:rsidRPr="00B45F92">
        <w:rPr>
          <w:sz w:val="22"/>
          <w:szCs w:val="22"/>
        </w:rPr>
        <w:t>﻿</w:t>
      </w:r>
      <w:r w:rsidR="00F125A1" w:rsidRPr="00B45F92">
        <w:t>9. Προβλέψεις</w:t>
      </w:r>
      <w:bookmarkEnd w:id="35"/>
      <w:bookmarkEnd w:id="36"/>
    </w:p>
    <w:p w:rsidR="00CF57A4" w:rsidRPr="00B45F92" w:rsidRDefault="00CF57A4" w:rsidP="00CF57A4">
      <w:pPr>
        <w:rPr>
          <w:lang w:eastAsia="en-US"/>
        </w:rPr>
      </w:pPr>
    </w:p>
    <w:p w:rsidR="00F125A1" w:rsidRPr="00B45F92" w:rsidRDefault="00F125A1" w:rsidP="00B82D0D">
      <w:pPr>
        <w:shd w:val="clear" w:color="auto" w:fill="FFFFFF"/>
        <w:spacing w:after="200" w:line="276" w:lineRule="auto"/>
        <w:ind w:left="284" w:right="14" w:hanging="284"/>
        <w:rPr>
          <w:b/>
          <w:sz w:val="22"/>
          <w:szCs w:val="22"/>
        </w:rPr>
      </w:pPr>
      <w:r w:rsidRPr="00B45F92">
        <w:rPr>
          <w:b/>
          <w:sz w:val="22"/>
          <w:szCs w:val="22"/>
        </w:rPr>
        <w:t>9.1 Πρόβλεψη αποζημίωσης προσωπικού λόγω αποχωρήσεως από την υπηρεσία</w:t>
      </w:r>
    </w:p>
    <w:p w:rsidR="00F125A1" w:rsidRPr="00B45F92" w:rsidRDefault="005759FC" w:rsidP="00B82D0D">
      <w:pPr>
        <w:shd w:val="clear" w:color="auto" w:fill="FFFFFF"/>
        <w:spacing w:after="200" w:line="276" w:lineRule="auto"/>
        <w:ind w:left="5" w:right="14" w:firstLine="562"/>
        <w:jc w:val="both"/>
        <w:rPr>
          <w:sz w:val="22"/>
          <w:szCs w:val="22"/>
        </w:rPr>
      </w:pPr>
      <w:r w:rsidRPr="00B45F92">
        <w:rPr>
          <w:sz w:val="22"/>
          <w:szCs w:val="22"/>
        </w:rPr>
        <w:t xml:space="preserve">Δεν έχει καταχωρηθεί πρόβλεψη </w:t>
      </w:r>
      <w:r w:rsidR="00F125A1" w:rsidRPr="00B45F92">
        <w:rPr>
          <w:sz w:val="22"/>
          <w:szCs w:val="22"/>
        </w:rPr>
        <w:t>υποχρέωσης για παροχές σε εργαζομένους</w:t>
      </w:r>
      <w:r w:rsidRPr="00B45F92">
        <w:rPr>
          <w:sz w:val="22"/>
          <w:szCs w:val="22"/>
        </w:rPr>
        <w:t>.</w:t>
      </w:r>
    </w:p>
    <w:p w:rsidR="00F125A1" w:rsidRPr="00B45F92" w:rsidRDefault="00F125A1" w:rsidP="003554D4">
      <w:pPr>
        <w:shd w:val="clear" w:color="auto" w:fill="FFFFFF"/>
        <w:spacing w:after="200" w:line="228" w:lineRule="auto"/>
        <w:ind w:left="284" w:right="14" w:hanging="284"/>
        <w:rPr>
          <w:b/>
          <w:sz w:val="22"/>
          <w:szCs w:val="22"/>
        </w:rPr>
      </w:pPr>
      <w:r w:rsidRPr="00B45F92">
        <w:rPr>
          <w:b/>
          <w:sz w:val="22"/>
          <w:szCs w:val="22"/>
        </w:rPr>
        <w:t>9.2 Λοιπές προβλέψεις</w:t>
      </w:r>
    </w:p>
    <w:p w:rsidR="00804C01" w:rsidRPr="00B45F92" w:rsidRDefault="00635E18" w:rsidP="00804C01">
      <w:pPr>
        <w:shd w:val="clear" w:color="auto" w:fill="FFFFFF"/>
        <w:spacing w:after="200" w:line="228" w:lineRule="auto"/>
        <w:ind w:left="284" w:right="14"/>
        <w:rPr>
          <w:sz w:val="22"/>
          <w:szCs w:val="22"/>
        </w:rPr>
      </w:pPr>
      <w:r w:rsidRPr="00B45F92">
        <w:rPr>
          <w:sz w:val="22"/>
          <w:szCs w:val="22"/>
        </w:rPr>
        <w:t>Δεν υφίστανται λοιπές προβλέψεις.</w:t>
      </w:r>
    </w:p>
    <w:p w:rsidR="00B45F92" w:rsidRDefault="00B45F92" w:rsidP="003554D4">
      <w:pPr>
        <w:pStyle w:val="1"/>
        <w:spacing w:line="228" w:lineRule="auto"/>
        <w:jc w:val="left"/>
        <w:rPr>
          <w:highlight w:val="yellow"/>
        </w:rPr>
      </w:pPr>
      <w:bookmarkStart w:id="37" w:name="_Toc488058542"/>
    </w:p>
    <w:p w:rsidR="00EF28E4" w:rsidRPr="00FA0511" w:rsidRDefault="00F75E42" w:rsidP="003554D4">
      <w:pPr>
        <w:pStyle w:val="1"/>
        <w:spacing w:line="228" w:lineRule="auto"/>
        <w:jc w:val="left"/>
      </w:pPr>
      <w:bookmarkStart w:id="38" w:name="_Toc15546003"/>
      <w:r w:rsidRPr="00FA0511">
        <w:t>10</w:t>
      </w:r>
      <w:r w:rsidR="00FF2F42" w:rsidRPr="00FA0511">
        <w:t>. Υ</w:t>
      </w:r>
      <w:r w:rsidR="00C75F51" w:rsidRPr="00FA0511">
        <w:t>ποχρεώσεις</w:t>
      </w:r>
      <w:bookmarkEnd w:id="37"/>
      <w:bookmarkEnd w:id="38"/>
    </w:p>
    <w:p w:rsidR="00F92EA8" w:rsidRPr="00FA0511" w:rsidRDefault="00F92EA8" w:rsidP="003554D4">
      <w:pPr>
        <w:spacing w:line="228" w:lineRule="auto"/>
        <w:rPr>
          <w:sz w:val="16"/>
          <w:szCs w:val="16"/>
          <w:lang w:eastAsia="en-US"/>
        </w:rPr>
      </w:pPr>
    </w:p>
    <w:p w:rsidR="009B619A" w:rsidRPr="00FA0511" w:rsidRDefault="009B619A" w:rsidP="003554D4">
      <w:pPr>
        <w:shd w:val="clear" w:color="auto" w:fill="FFFFFF"/>
        <w:spacing w:after="200" w:line="228" w:lineRule="auto"/>
        <w:ind w:left="284" w:right="14" w:hanging="284"/>
        <w:rPr>
          <w:b/>
          <w:sz w:val="22"/>
          <w:szCs w:val="22"/>
        </w:rPr>
      </w:pPr>
      <w:r w:rsidRPr="00FA0511">
        <w:rPr>
          <w:b/>
          <w:sz w:val="22"/>
          <w:szCs w:val="22"/>
        </w:rPr>
        <w:t>10.1 Μακροπρόθεσμ</w:t>
      </w:r>
      <w:r w:rsidR="00070498" w:rsidRPr="00FA0511">
        <w:rPr>
          <w:b/>
          <w:sz w:val="22"/>
          <w:szCs w:val="22"/>
        </w:rPr>
        <w:t>ες</w:t>
      </w:r>
      <w:r w:rsidRPr="00FA0511">
        <w:rPr>
          <w:b/>
          <w:sz w:val="22"/>
          <w:szCs w:val="22"/>
        </w:rPr>
        <w:t xml:space="preserve"> Υποχρεώσεις</w:t>
      </w:r>
    </w:p>
    <w:p w:rsidR="009B619A" w:rsidRPr="00FA0511" w:rsidRDefault="009B619A" w:rsidP="003554D4">
      <w:pPr>
        <w:shd w:val="clear" w:color="auto" w:fill="FFFFFF"/>
        <w:spacing w:after="200" w:line="228" w:lineRule="auto"/>
        <w:ind w:left="284" w:right="14" w:hanging="284"/>
        <w:rPr>
          <w:b/>
          <w:sz w:val="22"/>
          <w:szCs w:val="22"/>
        </w:rPr>
      </w:pPr>
      <w:r w:rsidRPr="00FA0511">
        <w:rPr>
          <w:b/>
          <w:sz w:val="22"/>
          <w:szCs w:val="22"/>
        </w:rPr>
        <w:t>10.1.1 Δάνεια</w:t>
      </w:r>
    </w:p>
    <w:p w:rsidR="00B56F15" w:rsidRPr="00FA0511" w:rsidRDefault="00456A85" w:rsidP="00B56F15">
      <w:pPr>
        <w:shd w:val="clear" w:color="auto" w:fill="FFFFFF"/>
        <w:spacing w:after="200" w:line="228" w:lineRule="auto"/>
        <w:ind w:left="5" w:right="14" w:firstLine="562"/>
        <w:jc w:val="both"/>
        <w:rPr>
          <w:sz w:val="22"/>
          <w:szCs w:val="22"/>
        </w:rPr>
      </w:pPr>
      <w:r w:rsidRPr="00FA0511">
        <w:rPr>
          <w:sz w:val="22"/>
          <w:szCs w:val="22"/>
        </w:rPr>
        <w:t>Δεν υφίστανται δανειακές υποχρεώσεις.</w:t>
      </w:r>
    </w:p>
    <w:p w:rsidR="009B619A" w:rsidRPr="00FA0511" w:rsidRDefault="00FF2F42" w:rsidP="006D6F7B">
      <w:pPr>
        <w:shd w:val="clear" w:color="auto" w:fill="FFFFFF"/>
        <w:spacing w:after="200" w:line="276" w:lineRule="auto"/>
        <w:ind w:left="567" w:right="14" w:hanging="567"/>
        <w:rPr>
          <w:b/>
          <w:sz w:val="22"/>
          <w:szCs w:val="22"/>
        </w:rPr>
      </w:pPr>
      <w:r w:rsidRPr="00FA0511">
        <w:rPr>
          <w:sz w:val="22"/>
          <w:szCs w:val="22"/>
        </w:rPr>
        <w:t>﻿</w:t>
      </w:r>
      <w:r w:rsidR="009B619A" w:rsidRPr="00FA0511">
        <w:rPr>
          <w:b/>
          <w:sz w:val="22"/>
          <w:szCs w:val="22"/>
        </w:rPr>
        <w:t xml:space="preserve">10.1.2 Λοιπές μακροπρόθεσμες υποχρεώσεις </w:t>
      </w:r>
    </w:p>
    <w:p w:rsidR="00C36C5C" w:rsidRPr="00FA0511" w:rsidRDefault="00647BE1" w:rsidP="00647BE1">
      <w:pPr>
        <w:shd w:val="clear" w:color="auto" w:fill="FFFFFF"/>
        <w:spacing w:after="200" w:line="228" w:lineRule="auto"/>
        <w:ind w:left="5" w:right="14" w:firstLine="562"/>
        <w:jc w:val="both"/>
        <w:rPr>
          <w:sz w:val="22"/>
          <w:szCs w:val="22"/>
        </w:rPr>
      </w:pPr>
      <w:r w:rsidRPr="00FA0511">
        <w:rPr>
          <w:sz w:val="22"/>
          <w:szCs w:val="22"/>
        </w:rPr>
        <w:t>Δεν υφίστανται μακροπρόθεσμες υποχρεώσεις</w:t>
      </w:r>
      <w:r w:rsidR="00B45F92" w:rsidRPr="00FA0511">
        <w:rPr>
          <w:sz w:val="22"/>
          <w:szCs w:val="22"/>
        </w:rPr>
        <w:t>.</w:t>
      </w:r>
    </w:p>
    <w:p w:rsidR="009B619A" w:rsidRPr="00FA0511" w:rsidRDefault="009B619A" w:rsidP="00B82D0D">
      <w:pPr>
        <w:shd w:val="clear" w:color="auto" w:fill="FFFFFF"/>
        <w:spacing w:after="200" w:line="276" w:lineRule="auto"/>
        <w:ind w:left="284" w:right="14" w:hanging="284"/>
        <w:rPr>
          <w:b/>
          <w:sz w:val="22"/>
          <w:szCs w:val="22"/>
        </w:rPr>
      </w:pPr>
      <w:r w:rsidRPr="00FA0511">
        <w:rPr>
          <w:b/>
          <w:sz w:val="22"/>
          <w:szCs w:val="22"/>
        </w:rPr>
        <w:t xml:space="preserve">10.1.3 Κρατικές επιχορηγήσεις </w:t>
      </w:r>
    </w:p>
    <w:p w:rsidR="00B45F92" w:rsidRPr="00FA0511" w:rsidRDefault="00B45F92" w:rsidP="00B45F92">
      <w:pPr>
        <w:shd w:val="clear" w:color="auto" w:fill="FFFFFF"/>
        <w:spacing w:after="200" w:line="228" w:lineRule="auto"/>
        <w:ind w:left="5" w:right="14" w:firstLine="562"/>
        <w:jc w:val="both"/>
        <w:rPr>
          <w:sz w:val="22"/>
          <w:szCs w:val="22"/>
        </w:rPr>
      </w:pPr>
      <w:r w:rsidRPr="00FA0511">
        <w:rPr>
          <w:sz w:val="22"/>
          <w:szCs w:val="22"/>
        </w:rPr>
        <w:t>Δεν υφίστανται κρατικές επιχορηγήσεις.</w:t>
      </w:r>
    </w:p>
    <w:p w:rsidR="00070498" w:rsidRPr="00FA0511" w:rsidRDefault="00070498" w:rsidP="00B82D0D">
      <w:pPr>
        <w:shd w:val="clear" w:color="auto" w:fill="FFFFFF"/>
        <w:spacing w:after="200" w:line="276" w:lineRule="auto"/>
        <w:ind w:left="284" w:right="14" w:hanging="284"/>
        <w:rPr>
          <w:b/>
          <w:sz w:val="22"/>
          <w:szCs w:val="22"/>
        </w:rPr>
      </w:pPr>
      <w:r w:rsidRPr="00FA0511">
        <w:rPr>
          <w:b/>
          <w:sz w:val="22"/>
          <w:szCs w:val="22"/>
        </w:rPr>
        <w:t>10.2 Βραχυπρόθεσμες Υποχρεώσεις</w:t>
      </w:r>
    </w:p>
    <w:p w:rsidR="00070498" w:rsidRPr="00FA0511" w:rsidRDefault="00070498" w:rsidP="00B82D0D">
      <w:pPr>
        <w:shd w:val="clear" w:color="auto" w:fill="FFFFFF"/>
        <w:spacing w:after="200" w:line="276" w:lineRule="auto"/>
        <w:ind w:left="284" w:right="14" w:hanging="284"/>
        <w:rPr>
          <w:b/>
          <w:sz w:val="22"/>
          <w:szCs w:val="22"/>
        </w:rPr>
      </w:pPr>
      <w:r w:rsidRPr="00FA0511">
        <w:rPr>
          <w:b/>
          <w:sz w:val="22"/>
          <w:szCs w:val="22"/>
        </w:rPr>
        <w:t>10.2.1 Εμπορικές υποχρεώσεις</w:t>
      </w:r>
    </w:p>
    <w:p w:rsidR="00070498" w:rsidRDefault="00070498" w:rsidP="00B82D0D">
      <w:pPr>
        <w:shd w:val="clear" w:color="auto" w:fill="FFFFFF"/>
        <w:spacing w:after="200" w:line="276" w:lineRule="auto"/>
        <w:ind w:left="284" w:right="14"/>
        <w:rPr>
          <w:sz w:val="22"/>
          <w:szCs w:val="22"/>
          <w:highlight w:val="yellow"/>
        </w:rPr>
      </w:pPr>
      <w:r w:rsidRPr="00FA0511">
        <w:rPr>
          <w:sz w:val="22"/>
          <w:szCs w:val="22"/>
        </w:rPr>
        <w:t>Οι εμπορικές υποχρεώσεις αναλύονται στον κατωτέρω πίνακα:</w:t>
      </w:r>
    </w:p>
    <w:tbl>
      <w:tblPr>
        <w:tblW w:w="5000" w:type="pct"/>
        <w:tblLook w:val="04A0" w:firstRow="1" w:lastRow="0" w:firstColumn="1" w:lastColumn="0" w:noHBand="0" w:noVBand="1"/>
      </w:tblPr>
      <w:tblGrid>
        <w:gridCol w:w="6222"/>
        <w:gridCol w:w="1701"/>
        <w:gridCol w:w="1799"/>
      </w:tblGrid>
      <w:tr w:rsidR="00A149AB" w:rsidTr="001C59B5">
        <w:trPr>
          <w:trHeight w:val="300"/>
        </w:trPr>
        <w:tc>
          <w:tcPr>
            <w:tcW w:w="320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lastRenderedPageBreak/>
              <w:t>Εμπορικές υποχρεώσεις</w:t>
            </w:r>
          </w:p>
        </w:tc>
        <w:tc>
          <w:tcPr>
            <w:tcW w:w="875"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31/12/21</w:t>
            </w:r>
          </w:p>
        </w:tc>
        <w:tc>
          <w:tcPr>
            <w:tcW w:w="925" w:type="pct"/>
            <w:tcBorders>
              <w:top w:val="single" w:sz="12" w:space="0" w:color="auto"/>
              <w:left w:val="nil"/>
              <w:bottom w:val="single" w:sz="12" w:space="0" w:color="auto"/>
              <w:right w:val="single" w:sz="12" w:space="0" w:color="auto"/>
            </w:tcBorders>
            <w:shd w:val="clear" w:color="auto" w:fill="auto"/>
            <w:vAlign w:val="center"/>
            <w:hideMark/>
          </w:tcPr>
          <w:p w:rsidR="00A149AB" w:rsidRDefault="00A149AB">
            <w:pPr>
              <w:jc w:val="center"/>
              <w:rPr>
                <w:b/>
                <w:bCs/>
                <w:color w:val="000000"/>
                <w:sz w:val="22"/>
                <w:szCs w:val="22"/>
              </w:rPr>
            </w:pPr>
            <w:r>
              <w:rPr>
                <w:b/>
                <w:bCs/>
                <w:color w:val="000000"/>
                <w:sz w:val="22"/>
                <w:szCs w:val="22"/>
              </w:rPr>
              <w:t>31/12/20</w:t>
            </w:r>
          </w:p>
        </w:tc>
      </w:tr>
      <w:tr w:rsidR="00A149AB" w:rsidTr="001C59B5">
        <w:trPr>
          <w:trHeight w:val="288"/>
        </w:trPr>
        <w:tc>
          <w:tcPr>
            <w:tcW w:w="3200" w:type="pct"/>
            <w:tcBorders>
              <w:top w:val="nil"/>
              <w:left w:val="single" w:sz="12" w:space="0" w:color="auto"/>
              <w:bottom w:val="nil"/>
              <w:right w:val="single" w:sz="12" w:space="0" w:color="auto"/>
            </w:tcBorders>
            <w:shd w:val="clear" w:color="auto" w:fill="auto"/>
            <w:vAlign w:val="center"/>
            <w:hideMark/>
          </w:tcPr>
          <w:p w:rsidR="00A149AB" w:rsidRDefault="00A149AB">
            <w:pPr>
              <w:rPr>
                <w:color w:val="000000"/>
                <w:sz w:val="22"/>
                <w:szCs w:val="22"/>
              </w:rPr>
            </w:pPr>
            <w:r>
              <w:rPr>
                <w:color w:val="000000"/>
                <w:sz w:val="22"/>
                <w:szCs w:val="22"/>
              </w:rPr>
              <w:t>Προμηθευτές</w:t>
            </w:r>
          </w:p>
        </w:tc>
        <w:tc>
          <w:tcPr>
            <w:tcW w:w="875" w:type="pct"/>
            <w:tcBorders>
              <w:top w:val="single" w:sz="12" w:space="0" w:color="auto"/>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1.609,17</w:t>
            </w:r>
          </w:p>
        </w:tc>
        <w:tc>
          <w:tcPr>
            <w:tcW w:w="925" w:type="pct"/>
            <w:tcBorders>
              <w:top w:val="single" w:sz="12" w:space="0" w:color="auto"/>
              <w:left w:val="nil"/>
              <w:bottom w:val="single" w:sz="4" w:space="0" w:color="auto"/>
              <w:right w:val="single" w:sz="12" w:space="0" w:color="auto"/>
            </w:tcBorders>
            <w:shd w:val="clear" w:color="auto" w:fill="auto"/>
            <w:vAlign w:val="center"/>
            <w:hideMark/>
          </w:tcPr>
          <w:p w:rsidR="00A149AB" w:rsidRDefault="00A149AB">
            <w:pPr>
              <w:jc w:val="right"/>
              <w:rPr>
                <w:color w:val="000000"/>
                <w:sz w:val="22"/>
                <w:szCs w:val="22"/>
              </w:rPr>
            </w:pPr>
            <w:r>
              <w:rPr>
                <w:color w:val="000000"/>
                <w:sz w:val="22"/>
                <w:szCs w:val="22"/>
              </w:rPr>
              <w:t>882,98</w:t>
            </w:r>
          </w:p>
        </w:tc>
      </w:tr>
      <w:tr w:rsidR="00A149AB" w:rsidTr="001C59B5">
        <w:trPr>
          <w:trHeight w:val="288"/>
        </w:trPr>
        <w:tc>
          <w:tcPr>
            <w:tcW w:w="3200" w:type="pct"/>
            <w:tcBorders>
              <w:top w:val="nil"/>
              <w:left w:val="single" w:sz="12" w:space="0" w:color="auto"/>
              <w:bottom w:val="single" w:sz="12" w:space="0" w:color="auto"/>
              <w:right w:val="single" w:sz="12" w:space="0" w:color="auto"/>
            </w:tcBorders>
            <w:shd w:val="clear" w:color="auto" w:fill="auto"/>
            <w:vAlign w:val="center"/>
            <w:hideMark/>
          </w:tcPr>
          <w:p w:rsidR="00A149AB" w:rsidRDefault="00A149AB">
            <w:pPr>
              <w:rPr>
                <w:b/>
                <w:bCs/>
                <w:color w:val="000000"/>
                <w:sz w:val="22"/>
                <w:szCs w:val="22"/>
              </w:rPr>
            </w:pPr>
            <w:r>
              <w:rPr>
                <w:b/>
                <w:bCs/>
                <w:color w:val="000000"/>
                <w:sz w:val="22"/>
                <w:szCs w:val="22"/>
              </w:rPr>
              <w:t>Σύνολο</w:t>
            </w:r>
          </w:p>
        </w:tc>
        <w:tc>
          <w:tcPr>
            <w:tcW w:w="875" w:type="pct"/>
            <w:tcBorders>
              <w:top w:val="single" w:sz="4" w:space="0" w:color="auto"/>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1.609,17</w:t>
            </w:r>
          </w:p>
        </w:tc>
        <w:tc>
          <w:tcPr>
            <w:tcW w:w="925" w:type="pct"/>
            <w:tcBorders>
              <w:top w:val="single" w:sz="4" w:space="0" w:color="auto"/>
              <w:left w:val="nil"/>
              <w:bottom w:val="double" w:sz="6" w:space="0" w:color="auto"/>
              <w:right w:val="single" w:sz="12" w:space="0" w:color="auto"/>
            </w:tcBorders>
            <w:shd w:val="clear" w:color="auto" w:fill="auto"/>
            <w:vAlign w:val="center"/>
            <w:hideMark/>
          </w:tcPr>
          <w:p w:rsidR="00A149AB" w:rsidRDefault="00A149AB">
            <w:pPr>
              <w:jc w:val="right"/>
              <w:rPr>
                <w:b/>
                <w:bCs/>
                <w:color w:val="000000"/>
                <w:sz w:val="22"/>
                <w:szCs w:val="22"/>
              </w:rPr>
            </w:pPr>
            <w:r>
              <w:rPr>
                <w:b/>
                <w:bCs/>
                <w:color w:val="000000"/>
                <w:sz w:val="22"/>
                <w:szCs w:val="22"/>
              </w:rPr>
              <w:t>882,98</w:t>
            </w:r>
          </w:p>
        </w:tc>
      </w:tr>
    </w:tbl>
    <w:p w:rsidR="00B45F92" w:rsidRDefault="00B45F92" w:rsidP="00B82D0D">
      <w:pPr>
        <w:shd w:val="clear" w:color="auto" w:fill="FFFFFF"/>
        <w:spacing w:after="200" w:line="276" w:lineRule="auto"/>
        <w:ind w:left="284" w:right="14"/>
        <w:rPr>
          <w:sz w:val="22"/>
          <w:szCs w:val="22"/>
          <w:highlight w:val="yellow"/>
        </w:rPr>
      </w:pPr>
    </w:p>
    <w:p w:rsidR="00070498" w:rsidRPr="00A760D1" w:rsidRDefault="00070498" w:rsidP="00B82D0D">
      <w:pPr>
        <w:shd w:val="clear" w:color="auto" w:fill="FFFFFF"/>
        <w:spacing w:after="200" w:line="276" w:lineRule="auto"/>
        <w:ind w:left="284" w:right="14" w:hanging="284"/>
        <w:rPr>
          <w:b/>
          <w:sz w:val="22"/>
          <w:szCs w:val="22"/>
        </w:rPr>
      </w:pPr>
      <w:r w:rsidRPr="00A760D1">
        <w:rPr>
          <w:b/>
          <w:sz w:val="22"/>
          <w:szCs w:val="22"/>
        </w:rPr>
        <w:t>10.2.2 Λοιπές υποχρεώσεις</w:t>
      </w:r>
    </w:p>
    <w:p w:rsidR="00070498" w:rsidRPr="00A760D1" w:rsidRDefault="00070498" w:rsidP="00B82D0D">
      <w:pPr>
        <w:shd w:val="clear" w:color="auto" w:fill="FFFFFF"/>
        <w:spacing w:after="200" w:line="276" w:lineRule="auto"/>
        <w:ind w:left="284" w:right="14"/>
        <w:rPr>
          <w:sz w:val="22"/>
          <w:szCs w:val="22"/>
        </w:rPr>
      </w:pPr>
      <w:r w:rsidRPr="00A760D1">
        <w:rPr>
          <w:sz w:val="22"/>
          <w:szCs w:val="22"/>
        </w:rPr>
        <w:t xml:space="preserve">Οι </w:t>
      </w:r>
      <w:r w:rsidR="00BA3252" w:rsidRPr="00A760D1">
        <w:rPr>
          <w:sz w:val="22"/>
          <w:szCs w:val="22"/>
        </w:rPr>
        <w:t xml:space="preserve">λοιπές </w:t>
      </w:r>
      <w:r w:rsidRPr="00A760D1">
        <w:rPr>
          <w:sz w:val="22"/>
          <w:szCs w:val="22"/>
        </w:rPr>
        <w:t>υποχρεώσεις αναλύονται στον κατωτέρω πίνακα:</w:t>
      </w:r>
    </w:p>
    <w:tbl>
      <w:tblPr>
        <w:tblW w:w="5000" w:type="pct"/>
        <w:tblLook w:val="04A0" w:firstRow="1" w:lastRow="0" w:firstColumn="1" w:lastColumn="0" w:noHBand="0" w:noVBand="1"/>
      </w:tblPr>
      <w:tblGrid>
        <w:gridCol w:w="6222"/>
        <w:gridCol w:w="1701"/>
        <w:gridCol w:w="1799"/>
      </w:tblGrid>
      <w:tr w:rsidR="00A258EC" w:rsidTr="001C59B5">
        <w:trPr>
          <w:trHeight w:val="330"/>
        </w:trPr>
        <w:tc>
          <w:tcPr>
            <w:tcW w:w="320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258EC" w:rsidRDefault="00A258EC">
            <w:pPr>
              <w:rPr>
                <w:b/>
                <w:bCs/>
                <w:color w:val="000000"/>
                <w:sz w:val="22"/>
                <w:szCs w:val="22"/>
              </w:rPr>
            </w:pPr>
            <w:r>
              <w:rPr>
                <w:b/>
                <w:bCs/>
                <w:color w:val="000000"/>
                <w:sz w:val="22"/>
                <w:szCs w:val="22"/>
              </w:rPr>
              <w:t>Λοιπές υποχρεώσεις</w:t>
            </w:r>
          </w:p>
        </w:tc>
        <w:tc>
          <w:tcPr>
            <w:tcW w:w="875" w:type="pct"/>
            <w:tcBorders>
              <w:top w:val="single" w:sz="12" w:space="0" w:color="auto"/>
              <w:left w:val="nil"/>
              <w:bottom w:val="single" w:sz="12" w:space="0" w:color="auto"/>
              <w:right w:val="single" w:sz="12" w:space="0" w:color="auto"/>
            </w:tcBorders>
            <w:shd w:val="clear" w:color="auto" w:fill="auto"/>
            <w:vAlign w:val="center"/>
            <w:hideMark/>
          </w:tcPr>
          <w:p w:rsidR="00A258EC" w:rsidRDefault="00112117">
            <w:pPr>
              <w:jc w:val="center"/>
              <w:rPr>
                <w:b/>
                <w:bCs/>
                <w:color w:val="000000"/>
                <w:sz w:val="22"/>
                <w:szCs w:val="22"/>
              </w:rPr>
            </w:pPr>
            <w:r>
              <w:rPr>
                <w:b/>
                <w:bCs/>
                <w:color w:val="000000"/>
                <w:sz w:val="22"/>
                <w:szCs w:val="22"/>
              </w:rPr>
              <w:t>31/12/2</w:t>
            </w:r>
            <w:r w:rsidR="00A149AB">
              <w:rPr>
                <w:b/>
                <w:bCs/>
                <w:color w:val="000000"/>
                <w:sz w:val="22"/>
                <w:szCs w:val="22"/>
              </w:rPr>
              <w:t>1</w:t>
            </w:r>
          </w:p>
        </w:tc>
        <w:tc>
          <w:tcPr>
            <w:tcW w:w="925" w:type="pct"/>
            <w:tcBorders>
              <w:top w:val="single" w:sz="12" w:space="0" w:color="auto"/>
              <w:left w:val="nil"/>
              <w:bottom w:val="single" w:sz="12" w:space="0" w:color="auto"/>
              <w:right w:val="single" w:sz="12" w:space="0" w:color="auto"/>
            </w:tcBorders>
            <w:shd w:val="clear" w:color="auto" w:fill="auto"/>
            <w:vAlign w:val="center"/>
            <w:hideMark/>
          </w:tcPr>
          <w:p w:rsidR="00A258EC" w:rsidRDefault="00A258EC">
            <w:pPr>
              <w:jc w:val="center"/>
              <w:rPr>
                <w:b/>
                <w:bCs/>
                <w:color w:val="000000"/>
                <w:sz w:val="22"/>
                <w:szCs w:val="22"/>
              </w:rPr>
            </w:pPr>
            <w:r>
              <w:rPr>
                <w:b/>
                <w:bCs/>
                <w:color w:val="000000"/>
                <w:sz w:val="22"/>
                <w:szCs w:val="22"/>
              </w:rPr>
              <w:t>31/12/</w:t>
            </w:r>
            <w:r w:rsidR="00A149AB">
              <w:rPr>
                <w:b/>
                <w:bCs/>
                <w:color w:val="000000"/>
                <w:sz w:val="22"/>
                <w:szCs w:val="22"/>
              </w:rPr>
              <w:t>20</w:t>
            </w:r>
          </w:p>
        </w:tc>
      </w:tr>
      <w:tr w:rsidR="00A258EC" w:rsidTr="001C59B5">
        <w:trPr>
          <w:trHeight w:val="330"/>
        </w:trPr>
        <w:tc>
          <w:tcPr>
            <w:tcW w:w="3200" w:type="pct"/>
            <w:tcBorders>
              <w:top w:val="nil"/>
              <w:left w:val="single" w:sz="12" w:space="0" w:color="auto"/>
              <w:bottom w:val="nil"/>
              <w:right w:val="single" w:sz="12" w:space="0" w:color="auto"/>
            </w:tcBorders>
            <w:shd w:val="clear" w:color="auto" w:fill="auto"/>
            <w:vAlign w:val="center"/>
            <w:hideMark/>
          </w:tcPr>
          <w:p w:rsidR="00A258EC" w:rsidRDefault="00A258EC">
            <w:pPr>
              <w:rPr>
                <w:color w:val="000000"/>
                <w:sz w:val="22"/>
                <w:szCs w:val="22"/>
              </w:rPr>
            </w:pPr>
            <w:r>
              <w:rPr>
                <w:color w:val="000000"/>
                <w:sz w:val="22"/>
                <w:szCs w:val="22"/>
              </w:rPr>
              <w:t>Υποχρεώσεις προς συνδεδεμένα μέρη</w:t>
            </w:r>
          </w:p>
        </w:tc>
        <w:tc>
          <w:tcPr>
            <w:tcW w:w="875" w:type="pct"/>
            <w:tcBorders>
              <w:top w:val="nil"/>
              <w:left w:val="nil"/>
              <w:bottom w:val="nil"/>
              <w:right w:val="single" w:sz="12" w:space="0" w:color="auto"/>
            </w:tcBorders>
            <w:shd w:val="clear" w:color="auto" w:fill="auto"/>
            <w:vAlign w:val="center"/>
            <w:hideMark/>
          </w:tcPr>
          <w:p w:rsidR="00A258EC" w:rsidRDefault="00A258EC">
            <w:pPr>
              <w:jc w:val="right"/>
              <w:rPr>
                <w:color w:val="000000"/>
                <w:sz w:val="22"/>
                <w:szCs w:val="22"/>
              </w:rPr>
            </w:pPr>
            <w:r>
              <w:rPr>
                <w:color w:val="000000"/>
                <w:sz w:val="22"/>
                <w:szCs w:val="22"/>
              </w:rPr>
              <w:t>602.675,00</w:t>
            </w:r>
          </w:p>
        </w:tc>
        <w:tc>
          <w:tcPr>
            <w:tcW w:w="925" w:type="pct"/>
            <w:tcBorders>
              <w:top w:val="nil"/>
              <w:left w:val="nil"/>
              <w:bottom w:val="nil"/>
              <w:right w:val="single" w:sz="12" w:space="0" w:color="auto"/>
            </w:tcBorders>
            <w:shd w:val="clear" w:color="auto" w:fill="auto"/>
            <w:vAlign w:val="center"/>
            <w:hideMark/>
          </w:tcPr>
          <w:p w:rsidR="00A258EC" w:rsidRDefault="00A258EC">
            <w:pPr>
              <w:jc w:val="right"/>
              <w:rPr>
                <w:color w:val="000000"/>
                <w:sz w:val="22"/>
                <w:szCs w:val="22"/>
              </w:rPr>
            </w:pPr>
            <w:r>
              <w:rPr>
                <w:color w:val="000000"/>
                <w:sz w:val="22"/>
                <w:szCs w:val="22"/>
              </w:rPr>
              <w:t>602.675,00</w:t>
            </w:r>
          </w:p>
        </w:tc>
      </w:tr>
      <w:tr w:rsidR="00A258EC" w:rsidTr="001C59B5">
        <w:trPr>
          <w:trHeight w:val="330"/>
        </w:trPr>
        <w:tc>
          <w:tcPr>
            <w:tcW w:w="3200" w:type="pct"/>
            <w:tcBorders>
              <w:top w:val="nil"/>
              <w:left w:val="single" w:sz="12" w:space="0" w:color="auto"/>
              <w:bottom w:val="single" w:sz="12" w:space="0" w:color="auto"/>
              <w:right w:val="single" w:sz="12" w:space="0" w:color="auto"/>
            </w:tcBorders>
            <w:shd w:val="clear" w:color="auto" w:fill="auto"/>
            <w:vAlign w:val="center"/>
            <w:hideMark/>
          </w:tcPr>
          <w:p w:rsidR="00A258EC" w:rsidRDefault="00A258EC">
            <w:pPr>
              <w:rPr>
                <w:b/>
                <w:bCs/>
                <w:color w:val="000000"/>
                <w:sz w:val="22"/>
                <w:szCs w:val="22"/>
              </w:rPr>
            </w:pPr>
            <w:r>
              <w:rPr>
                <w:b/>
                <w:bCs/>
                <w:color w:val="000000"/>
                <w:sz w:val="22"/>
                <w:szCs w:val="22"/>
              </w:rPr>
              <w:t>Σύνολο</w:t>
            </w:r>
          </w:p>
        </w:tc>
        <w:tc>
          <w:tcPr>
            <w:tcW w:w="875" w:type="pct"/>
            <w:tcBorders>
              <w:top w:val="single" w:sz="4" w:space="0" w:color="auto"/>
              <w:left w:val="nil"/>
              <w:bottom w:val="double" w:sz="6" w:space="0" w:color="auto"/>
              <w:right w:val="single" w:sz="12" w:space="0" w:color="auto"/>
            </w:tcBorders>
            <w:shd w:val="clear" w:color="auto" w:fill="auto"/>
            <w:vAlign w:val="center"/>
            <w:hideMark/>
          </w:tcPr>
          <w:p w:rsidR="00A258EC" w:rsidRDefault="00112117">
            <w:pPr>
              <w:jc w:val="right"/>
              <w:rPr>
                <w:b/>
                <w:bCs/>
                <w:color w:val="000000"/>
                <w:sz w:val="22"/>
                <w:szCs w:val="22"/>
              </w:rPr>
            </w:pPr>
            <w:r>
              <w:rPr>
                <w:b/>
                <w:bCs/>
                <w:color w:val="000000"/>
                <w:sz w:val="22"/>
                <w:szCs w:val="22"/>
              </w:rPr>
              <w:t>602.675,00</w:t>
            </w:r>
          </w:p>
        </w:tc>
        <w:tc>
          <w:tcPr>
            <w:tcW w:w="925" w:type="pct"/>
            <w:tcBorders>
              <w:top w:val="single" w:sz="4" w:space="0" w:color="auto"/>
              <w:left w:val="nil"/>
              <w:bottom w:val="double" w:sz="6" w:space="0" w:color="auto"/>
              <w:right w:val="single" w:sz="12" w:space="0" w:color="auto"/>
            </w:tcBorders>
            <w:shd w:val="clear" w:color="auto" w:fill="auto"/>
            <w:vAlign w:val="center"/>
            <w:hideMark/>
          </w:tcPr>
          <w:p w:rsidR="00A258EC" w:rsidRPr="00A149AB" w:rsidRDefault="00A149AB">
            <w:pPr>
              <w:jc w:val="right"/>
              <w:rPr>
                <w:b/>
                <w:bCs/>
                <w:color w:val="000000"/>
                <w:sz w:val="22"/>
                <w:szCs w:val="22"/>
                <w:lang w:val="en-US"/>
              </w:rPr>
            </w:pPr>
            <w:r>
              <w:rPr>
                <w:b/>
                <w:bCs/>
                <w:color w:val="000000"/>
                <w:sz w:val="22"/>
                <w:szCs w:val="22"/>
                <w:lang w:val="en-US"/>
              </w:rPr>
              <w:t>602.675,00</w:t>
            </w:r>
          </w:p>
        </w:tc>
      </w:tr>
    </w:tbl>
    <w:p w:rsidR="00070498" w:rsidRPr="00A131AE" w:rsidRDefault="00070498" w:rsidP="00523C3C">
      <w:pPr>
        <w:pStyle w:val="a8"/>
        <w:rPr>
          <w:highlight w:val="yellow"/>
        </w:rPr>
      </w:pPr>
    </w:p>
    <w:p w:rsidR="00763613" w:rsidRPr="00A760D1" w:rsidRDefault="00FC44B4" w:rsidP="00A760D1">
      <w:pPr>
        <w:pStyle w:val="1"/>
        <w:jc w:val="left"/>
      </w:pPr>
      <w:bookmarkStart w:id="39" w:name="_Toc488058543"/>
      <w:bookmarkStart w:id="40" w:name="_Toc15546004"/>
      <w:r w:rsidRPr="00A760D1">
        <w:t>1</w:t>
      </w:r>
      <w:r w:rsidR="001F2B44" w:rsidRPr="00A760D1">
        <w:t>1</w:t>
      </w:r>
      <w:r w:rsidR="00FF2F42" w:rsidRPr="00A760D1">
        <w:t xml:space="preserve">. </w:t>
      </w:r>
      <w:r w:rsidR="00763613" w:rsidRPr="00A760D1">
        <w:t>Έσοδα και έξοδα σημαντικού ποσού ή ιδιαίτερης συχνότητας ή σημασίας</w:t>
      </w:r>
      <w:bookmarkEnd w:id="39"/>
      <w:bookmarkEnd w:id="40"/>
    </w:p>
    <w:p w:rsidR="00523C3C" w:rsidRPr="00A760D1" w:rsidRDefault="00523C3C" w:rsidP="00A760D1">
      <w:pPr>
        <w:rPr>
          <w:sz w:val="16"/>
          <w:szCs w:val="16"/>
          <w:lang w:eastAsia="en-US"/>
        </w:rPr>
      </w:pPr>
    </w:p>
    <w:p w:rsidR="008B76FD" w:rsidRPr="00A760D1" w:rsidRDefault="008B76FD" w:rsidP="00A760D1">
      <w:pPr>
        <w:spacing w:after="200" w:line="276" w:lineRule="auto"/>
        <w:ind w:left="5" w:right="14" w:firstLine="562"/>
        <w:jc w:val="both"/>
        <w:rPr>
          <w:sz w:val="22"/>
          <w:szCs w:val="22"/>
        </w:rPr>
      </w:pPr>
      <w:r w:rsidRPr="00A760D1">
        <w:rPr>
          <w:sz w:val="22"/>
          <w:szCs w:val="22"/>
        </w:rPr>
        <w:t xml:space="preserve">Ακολουθεί ανάλυση </w:t>
      </w:r>
      <w:r w:rsidR="003E7FD4" w:rsidRPr="00A760D1">
        <w:rPr>
          <w:sz w:val="22"/>
          <w:szCs w:val="22"/>
        </w:rPr>
        <w:t xml:space="preserve">αυτών </w:t>
      </w:r>
      <w:r w:rsidRPr="00A760D1">
        <w:rPr>
          <w:sz w:val="22"/>
          <w:szCs w:val="22"/>
        </w:rPr>
        <w:t xml:space="preserve">των </w:t>
      </w:r>
      <w:r w:rsidR="00213939" w:rsidRPr="00A760D1">
        <w:rPr>
          <w:sz w:val="22"/>
          <w:szCs w:val="22"/>
        </w:rPr>
        <w:t xml:space="preserve">εσόδων και </w:t>
      </w:r>
      <w:r w:rsidRPr="00A760D1">
        <w:rPr>
          <w:sz w:val="22"/>
          <w:szCs w:val="22"/>
        </w:rPr>
        <w:t>εξόδων στους παρακάτω πίνακες:</w:t>
      </w:r>
    </w:p>
    <w:tbl>
      <w:tblPr>
        <w:tblW w:w="5000" w:type="pct"/>
        <w:tblLook w:val="04A0" w:firstRow="1" w:lastRow="0" w:firstColumn="1" w:lastColumn="0" w:noHBand="0" w:noVBand="1"/>
      </w:tblPr>
      <w:tblGrid>
        <w:gridCol w:w="6258"/>
        <w:gridCol w:w="1732"/>
        <w:gridCol w:w="1732"/>
      </w:tblGrid>
      <w:tr w:rsidR="00A760D1" w:rsidTr="00A760D1">
        <w:trPr>
          <w:trHeight w:val="315"/>
        </w:trPr>
        <w:tc>
          <w:tcPr>
            <w:tcW w:w="321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760D1" w:rsidRDefault="00A760D1">
            <w:pPr>
              <w:rPr>
                <w:b/>
                <w:bCs/>
                <w:color w:val="000000"/>
                <w:sz w:val="22"/>
                <w:szCs w:val="22"/>
              </w:rPr>
            </w:pPr>
            <w:r>
              <w:rPr>
                <w:b/>
                <w:bCs/>
                <w:color w:val="000000"/>
                <w:sz w:val="22"/>
                <w:szCs w:val="22"/>
              </w:rPr>
              <w:t>Έσοδα</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rsidR="00A760D1" w:rsidRDefault="00112117">
            <w:pPr>
              <w:jc w:val="center"/>
              <w:rPr>
                <w:b/>
                <w:bCs/>
                <w:color w:val="000000"/>
                <w:sz w:val="22"/>
                <w:szCs w:val="22"/>
              </w:rPr>
            </w:pPr>
            <w:r>
              <w:rPr>
                <w:b/>
                <w:bCs/>
                <w:color w:val="000000"/>
                <w:sz w:val="22"/>
                <w:szCs w:val="22"/>
              </w:rPr>
              <w:t>31/12/202</w:t>
            </w:r>
            <w:r w:rsidR="001C59B5">
              <w:rPr>
                <w:b/>
                <w:bCs/>
                <w:color w:val="000000"/>
                <w:sz w:val="22"/>
                <w:szCs w:val="22"/>
              </w:rPr>
              <w:t>1</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rsidR="00A760D1" w:rsidRDefault="001C59B5">
            <w:pPr>
              <w:jc w:val="center"/>
              <w:rPr>
                <w:b/>
                <w:bCs/>
                <w:color w:val="000000"/>
                <w:sz w:val="22"/>
                <w:szCs w:val="22"/>
              </w:rPr>
            </w:pPr>
            <w:r>
              <w:rPr>
                <w:b/>
                <w:bCs/>
                <w:color w:val="000000"/>
                <w:sz w:val="22"/>
                <w:szCs w:val="22"/>
              </w:rPr>
              <w:t>31/12/2020</w:t>
            </w:r>
          </w:p>
        </w:tc>
      </w:tr>
      <w:tr w:rsidR="00A760D1" w:rsidTr="00A760D1">
        <w:trPr>
          <w:trHeight w:val="315"/>
        </w:trPr>
        <w:tc>
          <w:tcPr>
            <w:tcW w:w="3218" w:type="pct"/>
            <w:tcBorders>
              <w:top w:val="nil"/>
              <w:left w:val="single" w:sz="12" w:space="0" w:color="auto"/>
              <w:bottom w:val="nil"/>
              <w:right w:val="single" w:sz="12" w:space="0" w:color="auto"/>
            </w:tcBorders>
            <w:shd w:val="clear" w:color="auto" w:fill="auto"/>
            <w:vAlign w:val="center"/>
            <w:hideMark/>
          </w:tcPr>
          <w:p w:rsidR="00A760D1" w:rsidRDefault="00A760D1">
            <w:pPr>
              <w:rPr>
                <w:color w:val="000000"/>
                <w:sz w:val="22"/>
                <w:szCs w:val="22"/>
              </w:rPr>
            </w:pPr>
            <w:r>
              <w:rPr>
                <w:color w:val="000000"/>
                <w:sz w:val="22"/>
                <w:szCs w:val="22"/>
              </w:rPr>
              <w:t>Λοιπά έκτακτα και ανόργανα έσοδα</w:t>
            </w:r>
          </w:p>
        </w:tc>
        <w:tc>
          <w:tcPr>
            <w:tcW w:w="891" w:type="pct"/>
            <w:tcBorders>
              <w:top w:val="nil"/>
              <w:left w:val="nil"/>
              <w:bottom w:val="single" w:sz="2" w:space="0" w:color="auto"/>
              <w:right w:val="single" w:sz="12" w:space="0" w:color="auto"/>
            </w:tcBorders>
            <w:shd w:val="clear" w:color="auto" w:fill="auto"/>
            <w:vAlign w:val="center"/>
            <w:hideMark/>
          </w:tcPr>
          <w:p w:rsidR="00A760D1" w:rsidRDefault="001C59B5">
            <w:pPr>
              <w:jc w:val="right"/>
              <w:rPr>
                <w:color w:val="000000"/>
                <w:sz w:val="22"/>
                <w:szCs w:val="22"/>
              </w:rPr>
            </w:pPr>
            <w:r>
              <w:rPr>
                <w:color w:val="000000"/>
                <w:sz w:val="22"/>
                <w:szCs w:val="22"/>
                <w:lang w:val="en-US"/>
              </w:rPr>
              <w:t>8</w:t>
            </w:r>
            <w:r w:rsidR="00112117">
              <w:rPr>
                <w:color w:val="000000"/>
                <w:sz w:val="22"/>
                <w:szCs w:val="22"/>
              </w:rPr>
              <w:t>0</w:t>
            </w:r>
            <w:r>
              <w:rPr>
                <w:color w:val="000000"/>
                <w:sz w:val="22"/>
                <w:szCs w:val="22"/>
                <w:lang w:val="en-US"/>
              </w:rPr>
              <w:t>4</w:t>
            </w:r>
            <w:r>
              <w:rPr>
                <w:color w:val="000000"/>
                <w:sz w:val="22"/>
                <w:szCs w:val="22"/>
              </w:rPr>
              <w:t>,8</w:t>
            </w:r>
            <w:r w:rsidR="00112117">
              <w:rPr>
                <w:color w:val="000000"/>
                <w:sz w:val="22"/>
                <w:szCs w:val="22"/>
              </w:rPr>
              <w:t>0</w:t>
            </w:r>
          </w:p>
        </w:tc>
        <w:tc>
          <w:tcPr>
            <w:tcW w:w="891" w:type="pct"/>
            <w:tcBorders>
              <w:top w:val="nil"/>
              <w:left w:val="nil"/>
              <w:bottom w:val="single" w:sz="2" w:space="0" w:color="auto"/>
              <w:right w:val="single" w:sz="12" w:space="0" w:color="auto"/>
            </w:tcBorders>
            <w:shd w:val="clear" w:color="auto" w:fill="auto"/>
            <w:vAlign w:val="center"/>
            <w:hideMark/>
          </w:tcPr>
          <w:p w:rsidR="00A760D1" w:rsidRPr="00A258EC" w:rsidRDefault="001C59B5">
            <w:pPr>
              <w:jc w:val="right"/>
              <w:rPr>
                <w:color w:val="000000"/>
                <w:sz w:val="22"/>
                <w:szCs w:val="22"/>
                <w:lang w:val="en-US"/>
              </w:rPr>
            </w:pPr>
            <w:r>
              <w:rPr>
                <w:color w:val="000000"/>
                <w:sz w:val="22"/>
                <w:szCs w:val="22"/>
                <w:lang w:val="en-US"/>
              </w:rPr>
              <w:t>0,00</w:t>
            </w:r>
          </w:p>
        </w:tc>
      </w:tr>
      <w:tr w:rsidR="00A760D1" w:rsidTr="00A760D1">
        <w:trPr>
          <w:trHeight w:val="300"/>
        </w:trPr>
        <w:tc>
          <w:tcPr>
            <w:tcW w:w="3218" w:type="pct"/>
            <w:tcBorders>
              <w:top w:val="nil"/>
              <w:left w:val="single" w:sz="12" w:space="0" w:color="auto"/>
              <w:bottom w:val="single" w:sz="12" w:space="0" w:color="auto"/>
              <w:right w:val="single" w:sz="12" w:space="0" w:color="auto"/>
            </w:tcBorders>
            <w:shd w:val="clear" w:color="auto" w:fill="auto"/>
            <w:vAlign w:val="center"/>
            <w:hideMark/>
          </w:tcPr>
          <w:p w:rsidR="00A760D1" w:rsidRDefault="00A760D1">
            <w:pPr>
              <w:rPr>
                <w:b/>
                <w:bCs/>
                <w:color w:val="000000"/>
                <w:sz w:val="22"/>
                <w:szCs w:val="22"/>
              </w:rPr>
            </w:pPr>
            <w:r>
              <w:rPr>
                <w:b/>
                <w:bCs/>
                <w:color w:val="000000"/>
                <w:sz w:val="22"/>
                <w:szCs w:val="22"/>
              </w:rPr>
              <w:t>Σύνολο</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rsidR="00A760D1" w:rsidRPr="001C59B5" w:rsidRDefault="001C59B5">
            <w:pPr>
              <w:jc w:val="right"/>
              <w:rPr>
                <w:b/>
                <w:bCs/>
                <w:color w:val="000000"/>
                <w:sz w:val="22"/>
                <w:szCs w:val="22"/>
              </w:rPr>
            </w:pPr>
            <w:r w:rsidRPr="001C59B5">
              <w:rPr>
                <w:b/>
                <w:color w:val="000000"/>
                <w:sz w:val="22"/>
                <w:szCs w:val="22"/>
                <w:lang w:val="en-US"/>
              </w:rPr>
              <w:t>8</w:t>
            </w:r>
            <w:r w:rsidRPr="001C59B5">
              <w:rPr>
                <w:b/>
                <w:color w:val="000000"/>
                <w:sz w:val="22"/>
                <w:szCs w:val="22"/>
              </w:rPr>
              <w:t>0</w:t>
            </w:r>
            <w:r w:rsidRPr="001C59B5">
              <w:rPr>
                <w:b/>
                <w:color w:val="000000"/>
                <w:sz w:val="22"/>
                <w:szCs w:val="22"/>
                <w:lang w:val="en-US"/>
              </w:rPr>
              <w:t>4</w:t>
            </w:r>
            <w:r w:rsidRPr="001C59B5">
              <w:rPr>
                <w:b/>
                <w:color w:val="000000"/>
                <w:sz w:val="22"/>
                <w:szCs w:val="22"/>
              </w:rPr>
              <w:t>,80</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rsidR="00A760D1" w:rsidRPr="00A258EC" w:rsidRDefault="001C59B5">
            <w:pPr>
              <w:jc w:val="right"/>
              <w:rPr>
                <w:b/>
                <w:bCs/>
                <w:color w:val="000000"/>
                <w:sz w:val="22"/>
                <w:szCs w:val="22"/>
                <w:lang w:val="en-US"/>
              </w:rPr>
            </w:pPr>
            <w:r>
              <w:rPr>
                <w:b/>
                <w:bCs/>
                <w:color w:val="000000"/>
                <w:sz w:val="22"/>
                <w:szCs w:val="22"/>
                <w:lang w:val="en-US"/>
              </w:rPr>
              <w:t>0,00</w:t>
            </w:r>
          </w:p>
        </w:tc>
      </w:tr>
    </w:tbl>
    <w:p w:rsidR="00A760D1" w:rsidRPr="00A131AE" w:rsidRDefault="00A760D1" w:rsidP="00B82D0D">
      <w:pPr>
        <w:shd w:val="clear" w:color="auto" w:fill="FFFFFF"/>
        <w:spacing w:after="200" w:line="276" w:lineRule="auto"/>
        <w:ind w:left="5" w:right="14" w:firstLine="562"/>
        <w:jc w:val="both"/>
        <w:rPr>
          <w:sz w:val="22"/>
          <w:szCs w:val="22"/>
          <w:highlight w:val="yellow"/>
        </w:rPr>
      </w:pPr>
    </w:p>
    <w:tbl>
      <w:tblPr>
        <w:tblW w:w="5000" w:type="pct"/>
        <w:tblLook w:val="04A0" w:firstRow="1" w:lastRow="0" w:firstColumn="1" w:lastColumn="0" w:noHBand="0" w:noVBand="1"/>
      </w:tblPr>
      <w:tblGrid>
        <w:gridCol w:w="6258"/>
        <w:gridCol w:w="1732"/>
        <w:gridCol w:w="1732"/>
      </w:tblGrid>
      <w:tr w:rsidR="00A760D1" w:rsidTr="00A760D1">
        <w:trPr>
          <w:trHeight w:val="315"/>
        </w:trPr>
        <w:tc>
          <w:tcPr>
            <w:tcW w:w="321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760D1" w:rsidRDefault="00A760D1">
            <w:pPr>
              <w:rPr>
                <w:b/>
                <w:bCs/>
                <w:color w:val="000000"/>
                <w:sz w:val="22"/>
                <w:szCs w:val="22"/>
              </w:rPr>
            </w:pPr>
            <w:r>
              <w:rPr>
                <w:b/>
                <w:bCs/>
                <w:color w:val="000000"/>
                <w:sz w:val="22"/>
                <w:szCs w:val="22"/>
              </w:rPr>
              <w:t>Έξοδα</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rsidR="00A760D1" w:rsidRDefault="001C59B5">
            <w:pPr>
              <w:jc w:val="center"/>
              <w:rPr>
                <w:b/>
                <w:bCs/>
                <w:color w:val="000000"/>
                <w:sz w:val="22"/>
                <w:szCs w:val="22"/>
              </w:rPr>
            </w:pPr>
            <w:r>
              <w:rPr>
                <w:b/>
                <w:bCs/>
                <w:color w:val="000000"/>
                <w:sz w:val="22"/>
                <w:szCs w:val="22"/>
              </w:rPr>
              <w:t>31/12/2021</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rsidR="00A760D1" w:rsidRDefault="001C59B5">
            <w:pPr>
              <w:jc w:val="center"/>
              <w:rPr>
                <w:b/>
                <w:bCs/>
                <w:color w:val="000000"/>
                <w:sz w:val="22"/>
                <w:szCs w:val="22"/>
              </w:rPr>
            </w:pPr>
            <w:r>
              <w:rPr>
                <w:b/>
                <w:bCs/>
                <w:color w:val="000000"/>
                <w:sz w:val="22"/>
                <w:szCs w:val="22"/>
              </w:rPr>
              <w:t>31/12/2020</w:t>
            </w:r>
          </w:p>
        </w:tc>
      </w:tr>
      <w:tr w:rsidR="00A258EC" w:rsidTr="00A760D1">
        <w:trPr>
          <w:trHeight w:val="300"/>
        </w:trPr>
        <w:tc>
          <w:tcPr>
            <w:tcW w:w="3218" w:type="pct"/>
            <w:tcBorders>
              <w:top w:val="nil"/>
              <w:left w:val="single" w:sz="12" w:space="0" w:color="auto"/>
              <w:bottom w:val="nil"/>
              <w:right w:val="single" w:sz="12" w:space="0" w:color="auto"/>
            </w:tcBorders>
            <w:shd w:val="clear" w:color="auto" w:fill="auto"/>
            <w:vAlign w:val="center"/>
            <w:hideMark/>
          </w:tcPr>
          <w:p w:rsidR="00A258EC" w:rsidRDefault="001C59B5" w:rsidP="00A258EC">
            <w:pPr>
              <w:rPr>
                <w:color w:val="000000"/>
                <w:sz w:val="22"/>
                <w:szCs w:val="22"/>
              </w:rPr>
            </w:pPr>
            <w:r w:rsidRPr="001C59B5">
              <w:rPr>
                <w:color w:val="000000"/>
                <w:sz w:val="22"/>
                <w:szCs w:val="22"/>
              </w:rPr>
              <w:t>Φορολογικά πρόστιμα και προσαυξήσεις</w:t>
            </w:r>
          </w:p>
        </w:tc>
        <w:tc>
          <w:tcPr>
            <w:tcW w:w="891" w:type="pct"/>
            <w:tcBorders>
              <w:top w:val="nil"/>
              <w:left w:val="nil"/>
              <w:bottom w:val="nil"/>
              <w:right w:val="single" w:sz="12" w:space="0" w:color="auto"/>
            </w:tcBorders>
            <w:shd w:val="clear" w:color="auto" w:fill="auto"/>
            <w:vAlign w:val="center"/>
            <w:hideMark/>
          </w:tcPr>
          <w:p w:rsidR="00A258EC" w:rsidRPr="00A258EC" w:rsidRDefault="001C59B5" w:rsidP="00A258EC">
            <w:pPr>
              <w:jc w:val="right"/>
              <w:rPr>
                <w:color w:val="000000"/>
                <w:sz w:val="22"/>
                <w:szCs w:val="22"/>
                <w:lang w:val="en-US"/>
              </w:rPr>
            </w:pPr>
            <w:r w:rsidRPr="001C59B5">
              <w:rPr>
                <w:color w:val="000000"/>
                <w:sz w:val="22"/>
                <w:szCs w:val="22"/>
                <w:lang w:val="en-US"/>
              </w:rPr>
              <w:t>512,73</w:t>
            </w:r>
          </w:p>
        </w:tc>
        <w:tc>
          <w:tcPr>
            <w:tcW w:w="891" w:type="pct"/>
            <w:tcBorders>
              <w:top w:val="nil"/>
              <w:left w:val="nil"/>
              <w:bottom w:val="nil"/>
              <w:right w:val="single" w:sz="12" w:space="0" w:color="auto"/>
            </w:tcBorders>
            <w:shd w:val="clear" w:color="auto" w:fill="auto"/>
            <w:vAlign w:val="center"/>
            <w:hideMark/>
          </w:tcPr>
          <w:p w:rsidR="00A258EC" w:rsidRPr="00112117" w:rsidRDefault="001C59B5" w:rsidP="00A258EC">
            <w:pPr>
              <w:jc w:val="right"/>
              <w:rPr>
                <w:color w:val="000000"/>
                <w:sz w:val="22"/>
                <w:szCs w:val="22"/>
                <w:lang w:val="en-US"/>
              </w:rPr>
            </w:pPr>
            <w:r>
              <w:rPr>
                <w:color w:val="000000"/>
                <w:sz w:val="22"/>
                <w:szCs w:val="22"/>
                <w:lang w:val="en-US"/>
              </w:rPr>
              <w:t>0,00</w:t>
            </w:r>
          </w:p>
        </w:tc>
      </w:tr>
      <w:tr w:rsidR="00A258EC" w:rsidTr="00A760D1">
        <w:trPr>
          <w:trHeight w:val="300"/>
        </w:trPr>
        <w:tc>
          <w:tcPr>
            <w:tcW w:w="3218" w:type="pct"/>
            <w:tcBorders>
              <w:top w:val="nil"/>
              <w:left w:val="single" w:sz="12" w:space="0" w:color="auto"/>
              <w:bottom w:val="nil"/>
              <w:right w:val="single" w:sz="12" w:space="0" w:color="auto"/>
            </w:tcBorders>
            <w:shd w:val="clear" w:color="auto" w:fill="auto"/>
            <w:vAlign w:val="center"/>
            <w:hideMark/>
          </w:tcPr>
          <w:p w:rsidR="00A258EC" w:rsidRDefault="00A258EC" w:rsidP="00A258EC">
            <w:pPr>
              <w:rPr>
                <w:color w:val="000000"/>
                <w:sz w:val="22"/>
                <w:szCs w:val="22"/>
              </w:rPr>
            </w:pPr>
            <w:r>
              <w:rPr>
                <w:color w:val="000000"/>
                <w:sz w:val="22"/>
                <w:szCs w:val="22"/>
              </w:rPr>
              <w:t>Λοιπά έξοδα</w:t>
            </w:r>
          </w:p>
        </w:tc>
        <w:tc>
          <w:tcPr>
            <w:tcW w:w="891" w:type="pct"/>
            <w:tcBorders>
              <w:top w:val="nil"/>
              <w:left w:val="nil"/>
              <w:bottom w:val="single" w:sz="2" w:space="0" w:color="auto"/>
              <w:right w:val="single" w:sz="12" w:space="0" w:color="auto"/>
            </w:tcBorders>
            <w:shd w:val="clear" w:color="auto" w:fill="auto"/>
            <w:vAlign w:val="center"/>
            <w:hideMark/>
          </w:tcPr>
          <w:p w:rsidR="00A258EC" w:rsidRPr="00A258EC" w:rsidRDefault="001C59B5" w:rsidP="00A258EC">
            <w:pPr>
              <w:jc w:val="right"/>
              <w:rPr>
                <w:color w:val="000000"/>
                <w:sz w:val="22"/>
                <w:szCs w:val="22"/>
                <w:lang w:val="en-US"/>
              </w:rPr>
            </w:pPr>
            <w:r w:rsidRPr="001C59B5">
              <w:rPr>
                <w:color w:val="000000"/>
                <w:sz w:val="22"/>
                <w:szCs w:val="22"/>
                <w:lang w:val="en-US"/>
              </w:rPr>
              <w:t>800,00</w:t>
            </w:r>
          </w:p>
        </w:tc>
        <w:tc>
          <w:tcPr>
            <w:tcW w:w="891" w:type="pct"/>
            <w:tcBorders>
              <w:top w:val="nil"/>
              <w:left w:val="nil"/>
              <w:bottom w:val="single" w:sz="2" w:space="0" w:color="auto"/>
              <w:right w:val="single" w:sz="12" w:space="0" w:color="auto"/>
            </w:tcBorders>
            <w:shd w:val="clear" w:color="auto" w:fill="auto"/>
            <w:vAlign w:val="center"/>
            <w:hideMark/>
          </w:tcPr>
          <w:p w:rsidR="00A258EC" w:rsidRPr="00112117" w:rsidRDefault="001C59B5" w:rsidP="00A258EC">
            <w:pPr>
              <w:jc w:val="right"/>
              <w:rPr>
                <w:color w:val="000000"/>
                <w:sz w:val="22"/>
                <w:szCs w:val="22"/>
                <w:lang w:val="en-US"/>
              </w:rPr>
            </w:pPr>
            <w:r>
              <w:rPr>
                <w:color w:val="000000"/>
                <w:sz w:val="22"/>
                <w:szCs w:val="22"/>
                <w:lang w:val="en-US"/>
              </w:rPr>
              <w:t>607,56</w:t>
            </w:r>
          </w:p>
        </w:tc>
      </w:tr>
      <w:tr w:rsidR="00A258EC" w:rsidTr="00A760D1">
        <w:trPr>
          <w:trHeight w:val="300"/>
        </w:trPr>
        <w:tc>
          <w:tcPr>
            <w:tcW w:w="3218" w:type="pct"/>
            <w:tcBorders>
              <w:top w:val="nil"/>
              <w:left w:val="single" w:sz="12" w:space="0" w:color="auto"/>
              <w:bottom w:val="single" w:sz="12" w:space="0" w:color="auto"/>
              <w:right w:val="single" w:sz="12" w:space="0" w:color="auto"/>
            </w:tcBorders>
            <w:shd w:val="clear" w:color="auto" w:fill="auto"/>
            <w:vAlign w:val="center"/>
            <w:hideMark/>
          </w:tcPr>
          <w:p w:rsidR="00A258EC" w:rsidRDefault="00A258EC" w:rsidP="00A258EC">
            <w:pPr>
              <w:rPr>
                <w:b/>
                <w:bCs/>
                <w:color w:val="000000"/>
                <w:sz w:val="22"/>
                <w:szCs w:val="22"/>
              </w:rPr>
            </w:pPr>
            <w:r>
              <w:rPr>
                <w:b/>
                <w:bCs/>
                <w:color w:val="000000"/>
                <w:sz w:val="22"/>
                <w:szCs w:val="22"/>
              </w:rPr>
              <w:t>Σύνολο</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rsidR="00A258EC" w:rsidRPr="00BA57FE" w:rsidRDefault="001C59B5" w:rsidP="00A258EC">
            <w:pPr>
              <w:jc w:val="right"/>
              <w:rPr>
                <w:b/>
                <w:bCs/>
                <w:color w:val="000000"/>
                <w:sz w:val="22"/>
                <w:szCs w:val="22"/>
                <w:lang w:val="en-US"/>
              </w:rPr>
            </w:pPr>
            <w:r w:rsidRPr="001C59B5">
              <w:rPr>
                <w:b/>
                <w:bCs/>
                <w:color w:val="000000"/>
                <w:sz w:val="22"/>
                <w:szCs w:val="22"/>
                <w:lang w:val="en-US"/>
              </w:rPr>
              <w:t>1.312,73</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rsidR="00A258EC" w:rsidRDefault="001C59B5" w:rsidP="00A258EC">
            <w:pPr>
              <w:jc w:val="right"/>
              <w:rPr>
                <w:b/>
                <w:bCs/>
                <w:color w:val="000000"/>
                <w:sz w:val="22"/>
                <w:szCs w:val="22"/>
              </w:rPr>
            </w:pPr>
            <w:r w:rsidRPr="001C59B5">
              <w:rPr>
                <w:b/>
                <w:bCs/>
                <w:color w:val="000000"/>
                <w:sz w:val="22"/>
                <w:szCs w:val="22"/>
              </w:rPr>
              <w:t>607,56</w:t>
            </w:r>
          </w:p>
        </w:tc>
      </w:tr>
    </w:tbl>
    <w:p w:rsidR="00F86817" w:rsidRPr="00A131AE" w:rsidRDefault="00F86817" w:rsidP="00523C3C">
      <w:pPr>
        <w:pStyle w:val="a8"/>
        <w:rPr>
          <w:highlight w:val="yellow"/>
        </w:rPr>
      </w:pPr>
    </w:p>
    <w:p w:rsidR="000A192C" w:rsidRPr="00A760D1" w:rsidRDefault="000A192C" w:rsidP="000A192C">
      <w:pPr>
        <w:pStyle w:val="1"/>
        <w:jc w:val="left"/>
      </w:pPr>
      <w:bookmarkStart w:id="41" w:name="_Toc488058544"/>
      <w:bookmarkStart w:id="42" w:name="_Toc15546005"/>
      <w:r w:rsidRPr="00A760D1">
        <w:t>12. Τόκοι που ενσωματώθηκαν στην αξία περιουσιακών στοιχείων στην περίοδο</w:t>
      </w:r>
      <w:bookmarkEnd w:id="41"/>
      <w:bookmarkEnd w:id="42"/>
    </w:p>
    <w:p w:rsidR="000A192C" w:rsidRPr="00A760D1" w:rsidRDefault="000A192C" w:rsidP="000A192C">
      <w:pPr>
        <w:rPr>
          <w:sz w:val="16"/>
          <w:szCs w:val="16"/>
          <w:lang w:eastAsia="en-US"/>
        </w:rPr>
      </w:pPr>
    </w:p>
    <w:p w:rsidR="000A192C" w:rsidRDefault="000A192C" w:rsidP="000A192C">
      <w:pPr>
        <w:shd w:val="clear" w:color="auto" w:fill="FFFFFF"/>
        <w:spacing w:after="200" w:line="276" w:lineRule="auto"/>
        <w:ind w:left="5" w:right="14" w:firstLine="562"/>
        <w:jc w:val="both"/>
        <w:rPr>
          <w:sz w:val="22"/>
          <w:szCs w:val="22"/>
        </w:rPr>
      </w:pPr>
      <w:r w:rsidRPr="00A760D1">
        <w:rPr>
          <w:sz w:val="22"/>
          <w:szCs w:val="22"/>
        </w:rPr>
        <w:t>Δεν έχουν ενσωματωθεί τόκοι στην αξία περιουσιακών στοιχείων.</w:t>
      </w:r>
    </w:p>
    <w:p w:rsidR="003506D2" w:rsidRPr="00A760D1" w:rsidRDefault="003506D2" w:rsidP="000A192C">
      <w:pPr>
        <w:shd w:val="clear" w:color="auto" w:fill="FFFFFF"/>
        <w:spacing w:after="200" w:line="276" w:lineRule="auto"/>
        <w:ind w:left="5" w:right="14" w:firstLine="562"/>
        <w:jc w:val="both"/>
        <w:rPr>
          <w:sz w:val="22"/>
          <w:szCs w:val="22"/>
        </w:rPr>
      </w:pPr>
    </w:p>
    <w:p w:rsidR="00874993" w:rsidRPr="003B0ED9" w:rsidRDefault="00FC44B4" w:rsidP="006949A7">
      <w:pPr>
        <w:pStyle w:val="1"/>
        <w:jc w:val="left"/>
      </w:pPr>
      <w:bookmarkStart w:id="43" w:name="_Toc488058545"/>
      <w:bookmarkStart w:id="44" w:name="_Toc15546006"/>
      <w:r w:rsidRPr="003B0ED9">
        <w:t>1</w:t>
      </w:r>
      <w:r w:rsidR="00E24828" w:rsidRPr="003B0ED9">
        <w:t>3</w:t>
      </w:r>
      <w:r w:rsidR="00FF2F42" w:rsidRPr="003B0ED9">
        <w:t>. Π</w:t>
      </w:r>
      <w:r w:rsidR="00874993" w:rsidRPr="003B0ED9">
        <w:t>ροτεινόμενη διάθεση κερδών</w:t>
      </w:r>
      <w:bookmarkEnd w:id="43"/>
      <w:bookmarkEnd w:id="44"/>
    </w:p>
    <w:p w:rsidR="004715E9" w:rsidRPr="003B0ED9" w:rsidRDefault="004715E9" w:rsidP="00B82D0D">
      <w:pPr>
        <w:pStyle w:val="Default"/>
        <w:spacing w:after="200" w:line="276" w:lineRule="auto"/>
        <w:ind w:firstLine="720"/>
        <w:rPr>
          <w:rFonts w:ascii="Times New Roman" w:hAnsi="Times New Roman" w:cs="Times New Roman"/>
          <w:bCs/>
          <w:iCs/>
          <w:sz w:val="4"/>
          <w:szCs w:val="22"/>
        </w:rPr>
      </w:pPr>
    </w:p>
    <w:p w:rsidR="00E24828" w:rsidRDefault="003B0ED9" w:rsidP="00BE214B">
      <w:pPr>
        <w:pStyle w:val="Default"/>
        <w:spacing w:after="200" w:line="276" w:lineRule="auto"/>
        <w:ind w:firstLine="720"/>
        <w:jc w:val="both"/>
        <w:rPr>
          <w:rFonts w:ascii="Times New Roman" w:hAnsi="Times New Roman" w:cs="Times New Roman"/>
          <w:bCs/>
          <w:iCs/>
          <w:sz w:val="22"/>
          <w:szCs w:val="22"/>
        </w:rPr>
      </w:pPr>
      <w:r w:rsidRPr="003B0ED9">
        <w:rPr>
          <w:rFonts w:ascii="Times New Roman" w:hAnsi="Times New Roman" w:cs="Times New Roman"/>
          <w:bCs/>
          <w:iCs/>
          <w:sz w:val="22"/>
          <w:szCs w:val="22"/>
        </w:rPr>
        <w:t>Το αποτέλεσμα της χρήσης ήταν ζημιογόνο</w:t>
      </w:r>
      <w:r w:rsidR="00BE214B" w:rsidRPr="003B0ED9">
        <w:rPr>
          <w:rFonts w:ascii="Times New Roman" w:hAnsi="Times New Roman" w:cs="Times New Roman"/>
          <w:bCs/>
          <w:iCs/>
          <w:sz w:val="22"/>
          <w:szCs w:val="22"/>
        </w:rPr>
        <w:t>.</w:t>
      </w:r>
      <w:r w:rsidR="00E24828" w:rsidRPr="003B0ED9">
        <w:rPr>
          <w:rFonts w:ascii="Times New Roman" w:hAnsi="Times New Roman" w:cs="Times New Roman"/>
          <w:bCs/>
          <w:iCs/>
          <w:sz w:val="22"/>
          <w:szCs w:val="22"/>
        </w:rPr>
        <w:t xml:space="preserve"> </w:t>
      </w:r>
    </w:p>
    <w:p w:rsidR="003506D2" w:rsidRPr="003B0ED9" w:rsidRDefault="003506D2" w:rsidP="00BE214B">
      <w:pPr>
        <w:pStyle w:val="Default"/>
        <w:spacing w:after="200" w:line="276" w:lineRule="auto"/>
        <w:ind w:firstLine="720"/>
        <w:jc w:val="both"/>
        <w:rPr>
          <w:rFonts w:ascii="Times New Roman" w:hAnsi="Times New Roman" w:cs="Times New Roman"/>
          <w:bCs/>
          <w:iCs/>
          <w:sz w:val="22"/>
          <w:szCs w:val="22"/>
        </w:rPr>
      </w:pPr>
    </w:p>
    <w:p w:rsidR="00874993" w:rsidRPr="00A760D1" w:rsidRDefault="00FF2F42" w:rsidP="006949A7">
      <w:pPr>
        <w:pStyle w:val="1"/>
        <w:jc w:val="left"/>
      </w:pPr>
      <w:bookmarkStart w:id="45" w:name="_Toc488058546"/>
      <w:bookmarkStart w:id="46" w:name="_Toc15546007"/>
      <w:r w:rsidRPr="00A760D1">
        <w:t>﻿1</w:t>
      </w:r>
      <w:r w:rsidR="00E24828" w:rsidRPr="00A760D1">
        <w:t>4</w:t>
      </w:r>
      <w:r w:rsidRPr="00A760D1">
        <w:t>. Κ</w:t>
      </w:r>
      <w:r w:rsidR="00874993" w:rsidRPr="00A760D1">
        <w:t>αταβληθέντα μερίσματα στην περίοδο</w:t>
      </w:r>
      <w:bookmarkEnd w:id="45"/>
      <w:bookmarkEnd w:id="46"/>
    </w:p>
    <w:p w:rsidR="00523C3C" w:rsidRPr="00A760D1" w:rsidRDefault="00523C3C" w:rsidP="00523C3C">
      <w:pPr>
        <w:rPr>
          <w:sz w:val="22"/>
          <w:szCs w:val="22"/>
          <w:lang w:eastAsia="en-US"/>
        </w:rPr>
      </w:pPr>
    </w:p>
    <w:p w:rsidR="00E24828" w:rsidRDefault="00D72D1D" w:rsidP="00B82D0D">
      <w:pPr>
        <w:shd w:val="clear" w:color="auto" w:fill="FFFFFF"/>
        <w:spacing w:after="200" w:line="276" w:lineRule="auto"/>
        <w:ind w:right="14" w:firstLine="567"/>
        <w:rPr>
          <w:sz w:val="22"/>
          <w:szCs w:val="22"/>
        </w:rPr>
      </w:pPr>
      <w:r w:rsidRPr="00A760D1">
        <w:rPr>
          <w:sz w:val="22"/>
          <w:szCs w:val="22"/>
        </w:rPr>
        <w:t>Στην κλειόμενη περίοδο δεν καταβλήθηκαν μερίσματα.</w:t>
      </w:r>
    </w:p>
    <w:p w:rsidR="003506D2" w:rsidRPr="00A760D1" w:rsidRDefault="003506D2" w:rsidP="00B82D0D">
      <w:pPr>
        <w:shd w:val="clear" w:color="auto" w:fill="FFFFFF"/>
        <w:spacing w:after="200" w:line="276" w:lineRule="auto"/>
        <w:ind w:right="14" w:firstLine="567"/>
        <w:rPr>
          <w:sz w:val="22"/>
          <w:szCs w:val="22"/>
        </w:rPr>
      </w:pPr>
    </w:p>
    <w:p w:rsidR="00874993" w:rsidRPr="003B0ED9" w:rsidRDefault="00FC44B4" w:rsidP="006949A7">
      <w:pPr>
        <w:pStyle w:val="1"/>
        <w:jc w:val="left"/>
      </w:pPr>
      <w:bookmarkStart w:id="47" w:name="_Toc488058547"/>
      <w:bookmarkStart w:id="48" w:name="_Toc15546008"/>
      <w:r w:rsidRPr="003B0ED9">
        <w:t>1</w:t>
      </w:r>
      <w:r w:rsidR="00E24828" w:rsidRPr="003B0ED9">
        <w:t>5</w:t>
      </w:r>
      <w:r w:rsidR="00FF2F42" w:rsidRPr="003B0ED9">
        <w:t>. Λ</w:t>
      </w:r>
      <w:r w:rsidR="00874993" w:rsidRPr="003B0ED9">
        <w:t>ογιστικός χειρισμός ζημιών περιόδου</w:t>
      </w:r>
      <w:bookmarkEnd w:id="47"/>
      <w:bookmarkEnd w:id="48"/>
    </w:p>
    <w:p w:rsidR="00523C3C" w:rsidRPr="003B0ED9" w:rsidRDefault="00523C3C" w:rsidP="00523C3C">
      <w:pPr>
        <w:rPr>
          <w:sz w:val="16"/>
          <w:szCs w:val="16"/>
          <w:lang w:val="x-none" w:eastAsia="en-US"/>
        </w:rPr>
      </w:pPr>
    </w:p>
    <w:p w:rsidR="00FF2F42" w:rsidRDefault="003B0ED9" w:rsidP="00B82D0D">
      <w:pPr>
        <w:shd w:val="clear" w:color="auto" w:fill="FFFFFF"/>
        <w:spacing w:after="200" w:line="276" w:lineRule="auto"/>
        <w:ind w:left="5" w:right="14" w:firstLine="562"/>
        <w:jc w:val="both"/>
        <w:rPr>
          <w:sz w:val="22"/>
          <w:szCs w:val="22"/>
        </w:rPr>
      </w:pPr>
      <w:r w:rsidRPr="003B0ED9">
        <w:rPr>
          <w:sz w:val="22"/>
          <w:szCs w:val="22"/>
        </w:rPr>
        <w:t xml:space="preserve">Το ζημιογόνο αποτέλεσμα της χρήσης </w:t>
      </w:r>
      <w:r>
        <w:rPr>
          <w:sz w:val="22"/>
          <w:szCs w:val="22"/>
        </w:rPr>
        <w:t>αύξησε</w:t>
      </w:r>
      <w:r w:rsidRPr="003B0ED9">
        <w:rPr>
          <w:sz w:val="22"/>
          <w:szCs w:val="22"/>
        </w:rPr>
        <w:t xml:space="preserve"> το υπόλοιπο ζημιών προηγουμένων χρήσεων</w:t>
      </w:r>
      <w:r w:rsidR="00EB2225" w:rsidRPr="003B0ED9">
        <w:rPr>
          <w:sz w:val="22"/>
          <w:szCs w:val="22"/>
        </w:rPr>
        <w:t>.</w:t>
      </w:r>
    </w:p>
    <w:p w:rsidR="003506D2" w:rsidRPr="003B0ED9" w:rsidRDefault="003506D2" w:rsidP="00B82D0D">
      <w:pPr>
        <w:shd w:val="clear" w:color="auto" w:fill="FFFFFF"/>
        <w:spacing w:after="200" w:line="276" w:lineRule="auto"/>
        <w:ind w:left="5" w:right="14" w:firstLine="562"/>
        <w:jc w:val="both"/>
        <w:rPr>
          <w:sz w:val="22"/>
          <w:szCs w:val="22"/>
        </w:rPr>
      </w:pPr>
    </w:p>
    <w:p w:rsidR="00105FEE" w:rsidRPr="00A760D1" w:rsidRDefault="00105FEE" w:rsidP="00105FEE">
      <w:pPr>
        <w:pStyle w:val="1"/>
        <w:spacing w:line="228" w:lineRule="auto"/>
        <w:jc w:val="left"/>
        <w:rPr>
          <w:lang w:val="el-GR"/>
        </w:rPr>
      </w:pPr>
      <w:bookmarkStart w:id="49" w:name="_Toc488058548"/>
      <w:bookmarkStart w:id="50" w:name="_Toc15546009"/>
      <w:r w:rsidRPr="00A760D1">
        <w:lastRenderedPageBreak/>
        <w:t>1</w:t>
      </w:r>
      <w:r w:rsidRPr="00A760D1">
        <w:rPr>
          <w:lang w:val="el-GR"/>
        </w:rPr>
        <w:t>6</w:t>
      </w:r>
      <w:r w:rsidRPr="00A760D1">
        <w:t>.</w:t>
      </w:r>
      <w:r w:rsidRPr="00A760D1">
        <w:rPr>
          <w:lang w:val="el-GR"/>
        </w:rPr>
        <w:t xml:space="preserve"> Αναβαλλόμενοι φόροι</w:t>
      </w:r>
      <w:bookmarkEnd w:id="49"/>
      <w:bookmarkEnd w:id="50"/>
    </w:p>
    <w:p w:rsidR="00105FEE" w:rsidRPr="00A760D1" w:rsidRDefault="00105FEE" w:rsidP="00105FEE">
      <w:pPr>
        <w:spacing w:line="228" w:lineRule="auto"/>
        <w:rPr>
          <w:sz w:val="16"/>
          <w:szCs w:val="16"/>
          <w:lang w:val="x-none" w:eastAsia="en-US"/>
        </w:rPr>
      </w:pPr>
    </w:p>
    <w:p w:rsidR="00105FEE" w:rsidRPr="00A760D1" w:rsidRDefault="00105FEE" w:rsidP="00105FEE">
      <w:pPr>
        <w:shd w:val="clear" w:color="auto" w:fill="FFFFFF"/>
        <w:spacing w:after="200" w:line="276" w:lineRule="auto"/>
        <w:ind w:left="5" w:right="14" w:firstLine="562"/>
        <w:jc w:val="both"/>
        <w:rPr>
          <w:sz w:val="22"/>
          <w:szCs w:val="22"/>
        </w:rPr>
      </w:pPr>
      <w:r w:rsidRPr="00A760D1">
        <w:rPr>
          <w:sz w:val="22"/>
          <w:szCs w:val="22"/>
        </w:rPr>
        <w:t>Η εταιρεία δεν έχει επιλέξει την καταχώρηση αναβαλλόμενων φόρων.</w:t>
      </w:r>
    </w:p>
    <w:p w:rsidR="001C59B5" w:rsidRDefault="001C59B5" w:rsidP="003554D4">
      <w:pPr>
        <w:pStyle w:val="1"/>
        <w:spacing w:line="228" w:lineRule="auto"/>
        <w:jc w:val="left"/>
      </w:pPr>
      <w:bookmarkStart w:id="51" w:name="_Toc488058549"/>
      <w:bookmarkStart w:id="52" w:name="_Toc15546010"/>
    </w:p>
    <w:p w:rsidR="00874993" w:rsidRPr="00711F5F" w:rsidRDefault="00606B3E" w:rsidP="003554D4">
      <w:pPr>
        <w:pStyle w:val="1"/>
        <w:spacing w:line="228" w:lineRule="auto"/>
        <w:jc w:val="left"/>
      </w:pPr>
      <w:r w:rsidRPr="00711F5F">
        <w:t>1</w:t>
      </w:r>
      <w:r w:rsidR="00E24828" w:rsidRPr="00711F5F">
        <w:t>7</w:t>
      </w:r>
      <w:r w:rsidR="00FF2F42" w:rsidRPr="00711F5F">
        <w:t>. Κ</w:t>
      </w:r>
      <w:r w:rsidR="00874993" w:rsidRPr="00711F5F">
        <w:t>ατηγορίες και αμοιβές προσωπικού</w:t>
      </w:r>
      <w:bookmarkEnd w:id="51"/>
      <w:bookmarkEnd w:id="52"/>
    </w:p>
    <w:p w:rsidR="00523C3C" w:rsidRPr="00711F5F" w:rsidRDefault="00523C3C" w:rsidP="003554D4">
      <w:pPr>
        <w:spacing w:line="228" w:lineRule="auto"/>
        <w:rPr>
          <w:sz w:val="16"/>
          <w:szCs w:val="16"/>
          <w:lang w:val="x-none" w:eastAsia="en-US"/>
        </w:rPr>
      </w:pPr>
    </w:p>
    <w:p w:rsidR="00576ABC" w:rsidRPr="00A131AE" w:rsidRDefault="001C59B5" w:rsidP="001C59B5">
      <w:pPr>
        <w:pStyle w:val="a8"/>
        <w:spacing w:line="228" w:lineRule="auto"/>
        <w:ind w:firstLine="720"/>
        <w:rPr>
          <w:highlight w:val="yellow"/>
        </w:rPr>
      </w:pPr>
      <w:r w:rsidRPr="00FA0511">
        <w:rPr>
          <w:sz w:val="22"/>
          <w:szCs w:val="22"/>
        </w:rPr>
        <w:t xml:space="preserve">Δεν υφίστανται </w:t>
      </w:r>
      <w:r>
        <w:rPr>
          <w:sz w:val="22"/>
          <w:szCs w:val="22"/>
        </w:rPr>
        <w:t xml:space="preserve">αμοιβές προσωπικού </w:t>
      </w:r>
      <w:r w:rsidRPr="00FA0511">
        <w:rPr>
          <w:sz w:val="22"/>
          <w:szCs w:val="22"/>
        </w:rPr>
        <w:t>.</w:t>
      </w:r>
    </w:p>
    <w:p w:rsidR="001C59B5" w:rsidRDefault="001C59B5" w:rsidP="003554D4">
      <w:pPr>
        <w:pStyle w:val="1"/>
        <w:spacing w:line="228" w:lineRule="auto"/>
        <w:jc w:val="left"/>
      </w:pPr>
      <w:bookmarkStart w:id="53" w:name="_Toc488058550"/>
      <w:bookmarkStart w:id="54" w:name="_Toc15546011"/>
    </w:p>
    <w:p w:rsidR="001C59B5" w:rsidRDefault="001C59B5" w:rsidP="003554D4">
      <w:pPr>
        <w:pStyle w:val="1"/>
        <w:spacing w:line="228" w:lineRule="auto"/>
        <w:jc w:val="left"/>
      </w:pPr>
    </w:p>
    <w:p w:rsidR="00874993" w:rsidRPr="00A760D1" w:rsidRDefault="00E24828" w:rsidP="003554D4">
      <w:pPr>
        <w:pStyle w:val="1"/>
        <w:spacing w:line="228" w:lineRule="auto"/>
        <w:jc w:val="left"/>
      </w:pPr>
      <w:r w:rsidRPr="00A760D1">
        <w:t>18</w:t>
      </w:r>
      <w:r w:rsidR="00FF2F42" w:rsidRPr="00A760D1">
        <w:t>. Α</w:t>
      </w:r>
      <w:r w:rsidR="00874993" w:rsidRPr="00A760D1">
        <w:t>νάλυση του κύκλου εργασιών ανά κατηγορίες δραστηριότητας και γεωγραφικές περιοχές</w:t>
      </w:r>
      <w:bookmarkEnd w:id="53"/>
      <w:bookmarkEnd w:id="54"/>
    </w:p>
    <w:p w:rsidR="00523C3C" w:rsidRPr="00A760D1" w:rsidRDefault="00523C3C" w:rsidP="003554D4">
      <w:pPr>
        <w:spacing w:line="228" w:lineRule="auto"/>
        <w:rPr>
          <w:sz w:val="16"/>
          <w:szCs w:val="16"/>
          <w:lang w:val="x-none" w:eastAsia="en-US"/>
        </w:rPr>
      </w:pPr>
    </w:p>
    <w:p w:rsidR="00FF2F42" w:rsidRPr="00A760D1" w:rsidRDefault="00FF2F42" w:rsidP="003554D4">
      <w:pPr>
        <w:shd w:val="clear" w:color="auto" w:fill="FFFFFF"/>
        <w:spacing w:after="200" w:line="228" w:lineRule="auto"/>
        <w:ind w:left="5" w:right="14" w:firstLine="562"/>
        <w:jc w:val="both"/>
        <w:rPr>
          <w:sz w:val="22"/>
          <w:szCs w:val="22"/>
        </w:rPr>
      </w:pPr>
      <w:r w:rsidRPr="00A760D1">
        <w:rPr>
          <w:sz w:val="22"/>
          <w:szCs w:val="22"/>
        </w:rPr>
        <w:t>Ο κύκλος εργασιών αναλύεται ως εξής:</w:t>
      </w:r>
    </w:p>
    <w:tbl>
      <w:tblPr>
        <w:tblW w:w="5000" w:type="pct"/>
        <w:tblLook w:val="04A0" w:firstRow="1" w:lastRow="0" w:firstColumn="1" w:lastColumn="0" w:noHBand="0" w:noVBand="1"/>
      </w:tblPr>
      <w:tblGrid>
        <w:gridCol w:w="5656"/>
        <w:gridCol w:w="2125"/>
        <w:gridCol w:w="1941"/>
      </w:tblGrid>
      <w:tr w:rsidR="00A760D1" w:rsidTr="00D862A9">
        <w:trPr>
          <w:trHeight w:val="315"/>
        </w:trPr>
        <w:tc>
          <w:tcPr>
            <w:tcW w:w="2908" w:type="pct"/>
            <w:tcBorders>
              <w:top w:val="single" w:sz="12" w:space="0" w:color="auto"/>
              <w:left w:val="single" w:sz="12" w:space="0" w:color="auto"/>
              <w:bottom w:val="nil"/>
              <w:right w:val="single" w:sz="12" w:space="0" w:color="auto"/>
            </w:tcBorders>
            <w:shd w:val="clear" w:color="auto" w:fill="auto"/>
            <w:vAlign w:val="center"/>
            <w:hideMark/>
          </w:tcPr>
          <w:p w:rsidR="00A760D1" w:rsidRDefault="00A760D1">
            <w:pPr>
              <w:rPr>
                <w:b/>
                <w:bCs/>
                <w:color w:val="000000"/>
                <w:sz w:val="22"/>
                <w:szCs w:val="22"/>
              </w:rPr>
            </w:pPr>
            <w:r>
              <w:rPr>
                <w:b/>
                <w:bCs/>
                <w:color w:val="000000"/>
                <w:sz w:val="22"/>
                <w:szCs w:val="22"/>
              </w:rPr>
              <w:t> </w:t>
            </w:r>
          </w:p>
        </w:tc>
        <w:tc>
          <w:tcPr>
            <w:tcW w:w="1093" w:type="pct"/>
            <w:tcBorders>
              <w:top w:val="single" w:sz="12" w:space="0" w:color="auto"/>
              <w:left w:val="nil"/>
              <w:bottom w:val="nil"/>
              <w:right w:val="single" w:sz="12" w:space="0" w:color="auto"/>
            </w:tcBorders>
            <w:shd w:val="clear" w:color="auto" w:fill="auto"/>
            <w:vAlign w:val="center"/>
            <w:hideMark/>
          </w:tcPr>
          <w:p w:rsidR="00A760D1" w:rsidRDefault="00BA57FE">
            <w:pPr>
              <w:jc w:val="center"/>
              <w:rPr>
                <w:b/>
                <w:bCs/>
                <w:color w:val="000000"/>
                <w:sz w:val="22"/>
                <w:szCs w:val="22"/>
              </w:rPr>
            </w:pPr>
            <w:r>
              <w:rPr>
                <w:b/>
                <w:bCs/>
                <w:color w:val="000000"/>
                <w:sz w:val="22"/>
                <w:szCs w:val="22"/>
              </w:rPr>
              <w:t>31/12/202</w:t>
            </w:r>
            <w:r w:rsidR="001C59B5">
              <w:rPr>
                <w:b/>
                <w:bCs/>
                <w:color w:val="000000"/>
                <w:sz w:val="22"/>
                <w:szCs w:val="22"/>
              </w:rPr>
              <w:t>1</w:t>
            </w:r>
          </w:p>
        </w:tc>
        <w:tc>
          <w:tcPr>
            <w:tcW w:w="998" w:type="pct"/>
            <w:tcBorders>
              <w:top w:val="single" w:sz="12" w:space="0" w:color="auto"/>
              <w:left w:val="nil"/>
              <w:bottom w:val="nil"/>
              <w:right w:val="single" w:sz="12" w:space="0" w:color="auto"/>
            </w:tcBorders>
            <w:shd w:val="clear" w:color="auto" w:fill="auto"/>
            <w:vAlign w:val="center"/>
            <w:hideMark/>
          </w:tcPr>
          <w:p w:rsidR="00A760D1" w:rsidRDefault="001C59B5">
            <w:pPr>
              <w:jc w:val="center"/>
              <w:rPr>
                <w:b/>
                <w:bCs/>
                <w:color w:val="000000"/>
                <w:sz w:val="22"/>
                <w:szCs w:val="22"/>
              </w:rPr>
            </w:pPr>
            <w:r>
              <w:rPr>
                <w:b/>
                <w:bCs/>
                <w:color w:val="000000"/>
                <w:sz w:val="22"/>
                <w:szCs w:val="22"/>
              </w:rPr>
              <w:t>31/12/2020</w:t>
            </w:r>
          </w:p>
        </w:tc>
      </w:tr>
      <w:tr w:rsidR="00BA57FE" w:rsidTr="00D862A9">
        <w:trPr>
          <w:trHeight w:val="788"/>
        </w:trPr>
        <w:tc>
          <w:tcPr>
            <w:tcW w:w="2908" w:type="pct"/>
            <w:tcBorders>
              <w:top w:val="single" w:sz="12" w:space="0" w:color="auto"/>
              <w:left w:val="single" w:sz="12" w:space="0" w:color="auto"/>
              <w:bottom w:val="nil"/>
              <w:right w:val="single" w:sz="12" w:space="0" w:color="auto"/>
            </w:tcBorders>
            <w:shd w:val="clear" w:color="auto" w:fill="auto"/>
            <w:vAlign w:val="center"/>
          </w:tcPr>
          <w:p w:rsidR="00BA57FE" w:rsidRDefault="00BA57FE">
            <w:pPr>
              <w:rPr>
                <w:b/>
                <w:bCs/>
                <w:color w:val="000000"/>
                <w:sz w:val="22"/>
                <w:szCs w:val="22"/>
              </w:rPr>
            </w:pPr>
            <w:r>
              <w:rPr>
                <w:b/>
                <w:bCs/>
                <w:color w:val="000000"/>
                <w:sz w:val="22"/>
                <w:szCs w:val="22"/>
              </w:rPr>
              <w:t>Κατηγορίες δραστηριότητας</w:t>
            </w:r>
          </w:p>
        </w:tc>
        <w:tc>
          <w:tcPr>
            <w:tcW w:w="1093" w:type="pct"/>
            <w:tcBorders>
              <w:top w:val="single" w:sz="12" w:space="0" w:color="auto"/>
              <w:left w:val="nil"/>
              <w:bottom w:val="nil"/>
              <w:right w:val="single" w:sz="12" w:space="0" w:color="auto"/>
            </w:tcBorders>
            <w:shd w:val="clear" w:color="auto" w:fill="auto"/>
            <w:vAlign w:val="center"/>
          </w:tcPr>
          <w:p w:rsidR="00BA57FE" w:rsidRDefault="00BA57FE" w:rsidP="00BA57FE">
            <w:pPr>
              <w:rPr>
                <w:color w:val="000000"/>
                <w:sz w:val="22"/>
                <w:szCs w:val="22"/>
              </w:rPr>
            </w:pPr>
          </w:p>
        </w:tc>
        <w:tc>
          <w:tcPr>
            <w:tcW w:w="998" w:type="pct"/>
            <w:tcBorders>
              <w:top w:val="single" w:sz="12" w:space="0" w:color="auto"/>
              <w:left w:val="nil"/>
              <w:bottom w:val="nil"/>
              <w:right w:val="single" w:sz="12" w:space="0" w:color="auto"/>
            </w:tcBorders>
            <w:shd w:val="clear" w:color="auto" w:fill="auto"/>
            <w:vAlign w:val="center"/>
          </w:tcPr>
          <w:p w:rsidR="00BA57FE" w:rsidRDefault="00BA57FE" w:rsidP="00BA57FE">
            <w:pPr>
              <w:rPr>
                <w:color w:val="000000"/>
                <w:sz w:val="22"/>
                <w:szCs w:val="22"/>
              </w:rPr>
            </w:pPr>
          </w:p>
        </w:tc>
      </w:tr>
      <w:tr w:rsidR="00BA57FE" w:rsidTr="00D862A9">
        <w:trPr>
          <w:trHeight w:val="315"/>
        </w:trPr>
        <w:tc>
          <w:tcPr>
            <w:tcW w:w="2908" w:type="pct"/>
            <w:tcBorders>
              <w:top w:val="nil"/>
              <w:left w:val="single" w:sz="12" w:space="0" w:color="auto"/>
              <w:bottom w:val="nil"/>
              <w:right w:val="single" w:sz="12" w:space="0" w:color="auto"/>
            </w:tcBorders>
            <w:shd w:val="clear" w:color="auto" w:fill="auto"/>
            <w:vAlign w:val="center"/>
            <w:hideMark/>
          </w:tcPr>
          <w:p w:rsidR="00BA57FE" w:rsidRDefault="00BA57FE" w:rsidP="00BA57FE">
            <w:pPr>
              <w:rPr>
                <w:color w:val="000000"/>
                <w:sz w:val="22"/>
                <w:szCs w:val="22"/>
              </w:rPr>
            </w:pPr>
            <w:r>
              <w:rPr>
                <w:color w:val="000000"/>
                <w:sz w:val="22"/>
                <w:szCs w:val="22"/>
              </w:rPr>
              <w:t>Παροχή υπηρεσιών</w:t>
            </w:r>
          </w:p>
        </w:tc>
        <w:tc>
          <w:tcPr>
            <w:tcW w:w="1093" w:type="pct"/>
            <w:tcBorders>
              <w:top w:val="nil"/>
              <w:left w:val="nil"/>
              <w:bottom w:val="single" w:sz="8" w:space="0" w:color="auto"/>
              <w:right w:val="single" w:sz="12" w:space="0" w:color="auto"/>
            </w:tcBorders>
            <w:shd w:val="clear" w:color="auto" w:fill="auto"/>
            <w:vAlign w:val="center"/>
            <w:hideMark/>
          </w:tcPr>
          <w:p w:rsidR="00BA57FE" w:rsidRDefault="00BA57FE" w:rsidP="00BA57FE">
            <w:pPr>
              <w:jc w:val="right"/>
              <w:rPr>
                <w:color w:val="000000"/>
                <w:sz w:val="22"/>
                <w:szCs w:val="22"/>
              </w:rPr>
            </w:pPr>
            <w:r w:rsidRPr="00BA57FE">
              <w:rPr>
                <w:color w:val="000000"/>
                <w:sz w:val="22"/>
                <w:szCs w:val="22"/>
              </w:rPr>
              <w:t>11.200,00</w:t>
            </w:r>
          </w:p>
        </w:tc>
        <w:tc>
          <w:tcPr>
            <w:tcW w:w="998" w:type="pct"/>
            <w:tcBorders>
              <w:top w:val="nil"/>
              <w:left w:val="nil"/>
              <w:bottom w:val="single" w:sz="8" w:space="0" w:color="auto"/>
              <w:right w:val="single" w:sz="12" w:space="0" w:color="auto"/>
            </w:tcBorders>
            <w:shd w:val="clear" w:color="auto" w:fill="auto"/>
            <w:vAlign w:val="center"/>
            <w:hideMark/>
          </w:tcPr>
          <w:p w:rsidR="00BA57FE" w:rsidRDefault="00BA57FE" w:rsidP="00BA57FE">
            <w:pPr>
              <w:jc w:val="right"/>
              <w:rPr>
                <w:color w:val="000000"/>
                <w:sz w:val="22"/>
                <w:szCs w:val="22"/>
              </w:rPr>
            </w:pPr>
            <w:r>
              <w:rPr>
                <w:color w:val="000000"/>
                <w:sz w:val="22"/>
                <w:szCs w:val="22"/>
              </w:rPr>
              <w:t>30.400,00</w:t>
            </w:r>
          </w:p>
        </w:tc>
      </w:tr>
      <w:tr w:rsidR="00BA57FE" w:rsidTr="00D862A9">
        <w:trPr>
          <w:trHeight w:val="300"/>
        </w:trPr>
        <w:tc>
          <w:tcPr>
            <w:tcW w:w="2908" w:type="pct"/>
            <w:tcBorders>
              <w:top w:val="nil"/>
              <w:left w:val="single" w:sz="12" w:space="0" w:color="auto"/>
              <w:bottom w:val="nil"/>
              <w:right w:val="single" w:sz="12" w:space="0" w:color="auto"/>
            </w:tcBorders>
            <w:shd w:val="clear" w:color="auto" w:fill="auto"/>
            <w:vAlign w:val="center"/>
            <w:hideMark/>
          </w:tcPr>
          <w:p w:rsidR="00BA57FE" w:rsidRDefault="00BA57FE" w:rsidP="00BA57FE">
            <w:pPr>
              <w:rPr>
                <w:b/>
                <w:bCs/>
                <w:color w:val="000000"/>
                <w:sz w:val="22"/>
                <w:szCs w:val="22"/>
              </w:rPr>
            </w:pPr>
            <w:r>
              <w:rPr>
                <w:b/>
                <w:bCs/>
                <w:color w:val="000000"/>
                <w:sz w:val="22"/>
                <w:szCs w:val="22"/>
              </w:rPr>
              <w:t>Σύνολο</w:t>
            </w:r>
          </w:p>
        </w:tc>
        <w:tc>
          <w:tcPr>
            <w:tcW w:w="1093" w:type="pct"/>
            <w:tcBorders>
              <w:top w:val="nil"/>
              <w:left w:val="nil"/>
              <w:bottom w:val="double" w:sz="6" w:space="0" w:color="auto"/>
              <w:right w:val="single" w:sz="12" w:space="0" w:color="auto"/>
            </w:tcBorders>
            <w:shd w:val="clear" w:color="auto" w:fill="auto"/>
            <w:vAlign w:val="center"/>
            <w:hideMark/>
          </w:tcPr>
          <w:p w:rsidR="00BA57FE" w:rsidRDefault="00BA57FE" w:rsidP="00BA57FE">
            <w:pPr>
              <w:jc w:val="right"/>
              <w:rPr>
                <w:b/>
                <w:bCs/>
                <w:color w:val="000000"/>
                <w:sz w:val="22"/>
                <w:szCs w:val="22"/>
              </w:rPr>
            </w:pPr>
            <w:r w:rsidRPr="00BA57FE">
              <w:rPr>
                <w:b/>
                <w:bCs/>
                <w:color w:val="000000"/>
                <w:sz w:val="22"/>
                <w:szCs w:val="22"/>
              </w:rPr>
              <w:t>11.200,00</w:t>
            </w:r>
          </w:p>
        </w:tc>
        <w:tc>
          <w:tcPr>
            <w:tcW w:w="998" w:type="pct"/>
            <w:tcBorders>
              <w:top w:val="nil"/>
              <w:left w:val="nil"/>
              <w:bottom w:val="double" w:sz="6" w:space="0" w:color="auto"/>
              <w:right w:val="single" w:sz="12" w:space="0" w:color="auto"/>
            </w:tcBorders>
            <w:shd w:val="clear" w:color="auto" w:fill="auto"/>
            <w:vAlign w:val="center"/>
            <w:hideMark/>
          </w:tcPr>
          <w:p w:rsidR="00BA57FE" w:rsidRDefault="00BA57FE" w:rsidP="00BA57FE">
            <w:pPr>
              <w:jc w:val="right"/>
              <w:rPr>
                <w:b/>
                <w:bCs/>
                <w:color w:val="000000"/>
                <w:sz w:val="22"/>
                <w:szCs w:val="22"/>
              </w:rPr>
            </w:pPr>
            <w:r w:rsidRPr="00AD64DF">
              <w:rPr>
                <w:b/>
                <w:bCs/>
                <w:color w:val="000000"/>
                <w:sz w:val="22"/>
                <w:szCs w:val="22"/>
              </w:rPr>
              <w:t>30.400,00</w:t>
            </w:r>
          </w:p>
        </w:tc>
      </w:tr>
      <w:tr w:rsidR="00AD64DF" w:rsidTr="00D862A9">
        <w:trPr>
          <w:trHeight w:val="300"/>
        </w:trPr>
        <w:tc>
          <w:tcPr>
            <w:tcW w:w="2908" w:type="pct"/>
            <w:tcBorders>
              <w:top w:val="nil"/>
              <w:left w:val="single" w:sz="12" w:space="0" w:color="auto"/>
              <w:bottom w:val="nil"/>
              <w:right w:val="single" w:sz="12" w:space="0" w:color="auto"/>
            </w:tcBorders>
            <w:shd w:val="clear" w:color="auto" w:fill="auto"/>
            <w:vAlign w:val="center"/>
            <w:hideMark/>
          </w:tcPr>
          <w:p w:rsidR="00AD64DF" w:rsidRDefault="00AD64DF" w:rsidP="00AD64DF">
            <w:pPr>
              <w:rPr>
                <w:b/>
                <w:bCs/>
                <w:color w:val="000000"/>
                <w:sz w:val="22"/>
                <w:szCs w:val="22"/>
              </w:rPr>
            </w:pPr>
            <w:r>
              <w:rPr>
                <w:b/>
                <w:bCs/>
                <w:color w:val="000000"/>
                <w:sz w:val="22"/>
                <w:szCs w:val="22"/>
              </w:rPr>
              <w:t>Γεωγραφικές αγορές</w:t>
            </w:r>
          </w:p>
        </w:tc>
        <w:tc>
          <w:tcPr>
            <w:tcW w:w="1093" w:type="pct"/>
            <w:tcBorders>
              <w:top w:val="nil"/>
              <w:left w:val="nil"/>
              <w:right w:val="single" w:sz="12" w:space="0" w:color="auto"/>
            </w:tcBorders>
            <w:shd w:val="clear" w:color="auto" w:fill="auto"/>
            <w:vAlign w:val="center"/>
            <w:hideMark/>
          </w:tcPr>
          <w:p w:rsidR="00AD64DF" w:rsidRDefault="00AD64DF" w:rsidP="00AD64DF">
            <w:pPr>
              <w:jc w:val="right"/>
              <w:rPr>
                <w:color w:val="000000"/>
                <w:sz w:val="22"/>
                <w:szCs w:val="22"/>
              </w:rPr>
            </w:pPr>
            <w:r>
              <w:rPr>
                <w:color w:val="000000"/>
                <w:sz w:val="22"/>
                <w:szCs w:val="22"/>
              </w:rPr>
              <w:t> </w:t>
            </w:r>
          </w:p>
        </w:tc>
        <w:tc>
          <w:tcPr>
            <w:tcW w:w="998" w:type="pct"/>
            <w:tcBorders>
              <w:top w:val="nil"/>
              <w:left w:val="nil"/>
              <w:right w:val="single" w:sz="12" w:space="0" w:color="auto"/>
            </w:tcBorders>
            <w:shd w:val="clear" w:color="auto" w:fill="auto"/>
            <w:vAlign w:val="center"/>
            <w:hideMark/>
          </w:tcPr>
          <w:p w:rsidR="00AD64DF" w:rsidRDefault="00AD64DF" w:rsidP="00AD64DF">
            <w:pPr>
              <w:jc w:val="right"/>
              <w:rPr>
                <w:color w:val="000000"/>
                <w:sz w:val="22"/>
                <w:szCs w:val="22"/>
              </w:rPr>
            </w:pPr>
            <w:r>
              <w:rPr>
                <w:color w:val="000000"/>
                <w:sz w:val="22"/>
                <w:szCs w:val="22"/>
              </w:rPr>
              <w:t> </w:t>
            </w:r>
          </w:p>
        </w:tc>
      </w:tr>
      <w:tr w:rsidR="00BA57FE" w:rsidTr="00D862A9">
        <w:trPr>
          <w:trHeight w:val="300"/>
        </w:trPr>
        <w:tc>
          <w:tcPr>
            <w:tcW w:w="2908" w:type="pct"/>
            <w:tcBorders>
              <w:top w:val="nil"/>
              <w:left w:val="single" w:sz="12" w:space="0" w:color="auto"/>
              <w:bottom w:val="nil"/>
              <w:right w:val="single" w:sz="12" w:space="0" w:color="auto"/>
            </w:tcBorders>
            <w:shd w:val="clear" w:color="auto" w:fill="auto"/>
            <w:vAlign w:val="center"/>
            <w:hideMark/>
          </w:tcPr>
          <w:p w:rsidR="00BA57FE" w:rsidRDefault="00BA57FE" w:rsidP="00BA57FE">
            <w:pPr>
              <w:rPr>
                <w:color w:val="000000"/>
                <w:sz w:val="22"/>
                <w:szCs w:val="22"/>
              </w:rPr>
            </w:pPr>
            <w:r>
              <w:rPr>
                <w:color w:val="000000"/>
                <w:sz w:val="22"/>
                <w:szCs w:val="22"/>
              </w:rPr>
              <w:t>Εσωτερική αγορά</w:t>
            </w:r>
          </w:p>
        </w:tc>
        <w:tc>
          <w:tcPr>
            <w:tcW w:w="1093" w:type="pct"/>
            <w:tcBorders>
              <w:top w:val="nil"/>
              <w:left w:val="nil"/>
              <w:bottom w:val="single" w:sz="2" w:space="0" w:color="auto"/>
              <w:right w:val="single" w:sz="12" w:space="0" w:color="auto"/>
            </w:tcBorders>
            <w:shd w:val="clear" w:color="auto" w:fill="auto"/>
            <w:vAlign w:val="center"/>
            <w:hideMark/>
          </w:tcPr>
          <w:p w:rsidR="00BA57FE" w:rsidRDefault="00BA57FE" w:rsidP="00BA57FE">
            <w:pPr>
              <w:jc w:val="right"/>
              <w:rPr>
                <w:color w:val="000000"/>
                <w:sz w:val="22"/>
                <w:szCs w:val="22"/>
              </w:rPr>
            </w:pPr>
            <w:r w:rsidRPr="00BA57FE">
              <w:rPr>
                <w:color w:val="000000"/>
                <w:sz w:val="22"/>
                <w:szCs w:val="22"/>
              </w:rPr>
              <w:t>11.200,00</w:t>
            </w:r>
          </w:p>
        </w:tc>
        <w:tc>
          <w:tcPr>
            <w:tcW w:w="998" w:type="pct"/>
            <w:tcBorders>
              <w:top w:val="nil"/>
              <w:left w:val="nil"/>
              <w:bottom w:val="single" w:sz="2" w:space="0" w:color="auto"/>
              <w:right w:val="single" w:sz="12" w:space="0" w:color="auto"/>
            </w:tcBorders>
            <w:shd w:val="clear" w:color="auto" w:fill="auto"/>
            <w:vAlign w:val="center"/>
            <w:hideMark/>
          </w:tcPr>
          <w:p w:rsidR="00BA57FE" w:rsidRDefault="00BA57FE" w:rsidP="00BA57FE">
            <w:pPr>
              <w:jc w:val="right"/>
              <w:rPr>
                <w:color w:val="000000"/>
                <w:sz w:val="22"/>
                <w:szCs w:val="22"/>
              </w:rPr>
            </w:pPr>
            <w:r w:rsidRPr="00AD64DF">
              <w:rPr>
                <w:color w:val="000000"/>
                <w:sz w:val="22"/>
                <w:szCs w:val="22"/>
              </w:rPr>
              <w:t>30.400,00</w:t>
            </w:r>
          </w:p>
        </w:tc>
      </w:tr>
      <w:tr w:rsidR="00BA57FE" w:rsidTr="00D862A9">
        <w:trPr>
          <w:trHeight w:val="52"/>
        </w:trPr>
        <w:tc>
          <w:tcPr>
            <w:tcW w:w="2908" w:type="pct"/>
            <w:tcBorders>
              <w:top w:val="nil"/>
              <w:left w:val="single" w:sz="12" w:space="0" w:color="auto"/>
              <w:bottom w:val="single" w:sz="12" w:space="0" w:color="auto"/>
              <w:right w:val="single" w:sz="12" w:space="0" w:color="auto"/>
            </w:tcBorders>
            <w:shd w:val="clear" w:color="auto" w:fill="auto"/>
            <w:vAlign w:val="center"/>
            <w:hideMark/>
          </w:tcPr>
          <w:p w:rsidR="00BA57FE" w:rsidRDefault="00BA57FE" w:rsidP="00BA57FE">
            <w:pPr>
              <w:rPr>
                <w:b/>
                <w:bCs/>
                <w:color w:val="000000"/>
                <w:sz w:val="22"/>
                <w:szCs w:val="22"/>
              </w:rPr>
            </w:pPr>
            <w:r>
              <w:rPr>
                <w:b/>
                <w:bCs/>
                <w:color w:val="000000"/>
                <w:sz w:val="22"/>
                <w:szCs w:val="22"/>
              </w:rPr>
              <w:t>Σύνολο</w:t>
            </w:r>
          </w:p>
        </w:tc>
        <w:tc>
          <w:tcPr>
            <w:tcW w:w="1093" w:type="pct"/>
            <w:tcBorders>
              <w:top w:val="single" w:sz="2" w:space="0" w:color="auto"/>
              <w:left w:val="nil"/>
              <w:bottom w:val="double" w:sz="6" w:space="0" w:color="auto"/>
              <w:right w:val="single" w:sz="12" w:space="0" w:color="auto"/>
            </w:tcBorders>
            <w:shd w:val="clear" w:color="auto" w:fill="auto"/>
            <w:vAlign w:val="center"/>
            <w:hideMark/>
          </w:tcPr>
          <w:p w:rsidR="00BA57FE" w:rsidRDefault="00BA57FE" w:rsidP="00BA57FE">
            <w:pPr>
              <w:jc w:val="right"/>
              <w:rPr>
                <w:b/>
                <w:bCs/>
                <w:color w:val="000000"/>
                <w:sz w:val="22"/>
                <w:szCs w:val="22"/>
              </w:rPr>
            </w:pPr>
            <w:r w:rsidRPr="00BA57FE">
              <w:rPr>
                <w:b/>
                <w:bCs/>
                <w:color w:val="000000"/>
                <w:sz w:val="22"/>
                <w:szCs w:val="22"/>
              </w:rPr>
              <w:t>11.200,00</w:t>
            </w:r>
          </w:p>
        </w:tc>
        <w:tc>
          <w:tcPr>
            <w:tcW w:w="998" w:type="pct"/>
            <w:tcBorders>
              <w:top w:val="single" w:sz="2" w:space="0" w:color="auto"/>
              <w:left w:val="nil"/>
              <w:bottom w:val="double" w:sz="6" w:space="0" w:color="auto"/>
              <w:right w:val="single" w:sz="12" w:space="0" w:color="auto"/>
            </w:tcBorders>
            <w:shd w:val="clear" w:color="auto" w:fill="auto"/>
            <w:vAlign w:val="center"/>
            <w:hideMark/>
          </w:tcPr>
          <w:p w:rsidR="00BA57FE" w:rsidRDefault="00BA57FE" w:rsidP="00BA57FE">
            <w:pPr>
              <w:jc w:val="right"/>
              <w:rPr>
                <w:b/>
                <w:bCs/>
                <w:color w:val="000000"/>
                <w:sz w:val="22"/>
                <w:szCs w:val="22"/>
              </w:rPr>
            </w:pPr>
            <w:r w:rsidRPr="00AD64DF">
              <w:rPr>
                <w:b/>
                <w:bCs/>
                <w:color w:val="000000"/>
                <w:sz w:val="22"/>
                <w:szCs w:val="22"/>
              </w:rPr>
              <w:t>30.400,00</w:t>
            </w:r>
          </w:p>
        </w:tc>
      </w:tr>
    </w:tbl>
    <w:p w:rsidR="00A760D1" w:rsidRDefault="00A760D1" w:rsidP="003554D4">
      <w:pPr>
        <w:shd w:val="clear" w:color="auto" w:fill="FFFFFF"/>
        <w:spacing w:after="200" w:line="228" w:lineRule="auto"/>
        <w:ind w:left="5" w:right="14" w:firstLine="562"/>
        <w:jc w:val="both"/>
        <w:rPr>
          <w:sz w:val="22"/>
          <w:szCs w:val="22"/>
          <w:highlight w:val="yellow"/>
        </w:rPr>
      </w:pPr>
    </w:p>
    <w:p w:rsidR="00372E08" w:rsidRPr="00A760D1" w:rsidRDefault="009E738C" w:rsidP="006949A7">
      <w:pPr>
        <w:pStyle w:val="1"/>
        <w:jc w:val="left"/>
      </w:pPr>
      <w:bookmarkStart w:id="55" w:name="_Toc488058551"/>
      <w:bookmarkStart w:id="56" w:name="_Toc15546012"/>
      <w:r w:rsidRPr="00A760D1">
        <w:rPr>
          <w:lang w:val="el-GR"/>
        </w:rPr>
        <w:t>19</w:t>
      </w:r>
      <w:r w:rsidR="00FF2F42" w:rsidRPr="00A760D1">
        <w:t>.  Σ</w:t>
      </w:r>
      <w:r w:rsidR="00372E08" w:rsidRPr="00A760D1">
        <w:t>υμμετοχές σε εταιρείες με απεριόριστη ευθύνη των εταίρων</w:t>
      </w:r>
      <w:bookmarkEnd w:id="55"/>
      <w:bookmarkEnd w:id="56"/>
    </w:p>
    <w:p w:rsidR="00523C3C" w:rsidRPr="00A760D1" w:rsidRDefault="00523C3C" w:rsidP="00523C3C">
      <w:pPr>
        <w:rPr>
          <w:sz w:val="16"/>
          <w:szCs w:val="16"/>
          <w:lang w:eastAsia="en-US"/>
        </w:rPr>
      </w:pPr>
    </w:p>
    <w:p w:rsidR="00FF2F42" w:rsidRPr="00A760D1" w:rsidRDefault="00FF2F42" w:rsidP="00B82D0D">
      <w:pPr>
        <w:shd w:val="clear" w:color="auto" w:fill="FFFFFF"/>
        <w:spacing w:after="200" w:line="276" w:lineRule="auto"/>
        <w:ind w:left="5" w:right="14" w:firstLine="562"/>
        <w:jc w:val="both"/>
        <w:rPr>
          <w:sz w:val="22"/>
          <w:szCs w:val="22"/>
        </w:rPr>
      </w:pPr>
      <w:r w:rsidRPr="00A760D1">
        <w:rPr>
          <w:sz w:val="22"/>
          <w:szCs w:val="22"/>
        </w:rPr>
        <w:t>Δεν υπάρχουν τέτοιες συμμετοχές.</w:t>
      </w:r>
    </w:p>
    <w:p w:rsidR="00B02CCA" w:rsidRPr="00A131AE" w:rsidRDefault="00B02CCA" w:rsidP="00523C3C">
      <w:pPr>
        <w:pStyle w:val="a8"/>
        <w:rPr>
          <w:highlight w:val="yellow"/>
        </w:rPr>
      </w:pPr>
    </w:p>
    <w:p w:rsidR="00372E08" w:rsidRPr="003B0ED9" w:rsidRDefault="009E738C" w:rsidP="006949A7">
      <w:pPr>
        <w:pStyle w:val="1"/>
        <w:jc w:val="left"/>
      </w:pPr>
      <w:bookmarkStart w:id="57" w:name="_Toc488058552"/>
      <w:bookmarkStart w:id="58" w:name="_Toc15546013"/>
      <w:r w:rsidRPr="003B0ED9">
        <w:rPr>
          <w:lang w:val="el-GR"/>
        </w:rPr>
        <w:t>20</w:t>
      </w:r>
      <w:r w:rsidR="00FF2F42" w:rsidRPr="003B0ED9">
        <w:t>.  Σ</w:t>
      </w:r>
      <w:r w:rsidR="00372E08" w:rsidRPr="003B0ED9">
        <w:t>τοιχεία της εταιρείας που καταρτίζει ενοποιημένες χρηματοοικονομικές καταστάσεις του τελικού συνόλου επιχειρήσεων, μέρος του οποίου αποτελεί η εταιρεία ως θυγατρική</w:t>
      </w:r>
      <w:bookmarkEnd w:id="57"/>
      <w:bookmarkEnd w:id="58"/>
    </w:p>
    <w:p w:rsidR="00523C3C" w:rsidRPr="003B0ED9" w:rsidRDefault="00523C3C" w:rsidP="00523C3C">
      <w:pPr>
        <w:rPr>
          <w:sz w:val="16"/>
          <w:szCs w:val="16"/>
          <w:lang w:eastAsia="en-US"/>
        </w:rPr>
      </w:pPr>
    </w:p>
    <w:p w:rsidR="001A260B" w:rsidRDefault="001A260B" w:rsidP="001A260B">
      <w:pPr>
        <w:shd w:val="clear" w:color="auto" w:fill="FFFFFF"/>
        <w:spacing w:after="200" w:line="276" w:lineRule="auto"/>
        <w:ind w:left="5" w:right="14" w:firstLine="562"/>
        <w:jc w:val="both"/>
        <w:rPr>
          <w:sz w:val="22"/>
          <w:szCs w:val="22"/>
        </w:rPr>
      </w:pPr>
      <w:r w:rsidRPr="003B0ED9">
        <w:rPr>
          <w:sz w:val="22"/>
          <w:szCs w:val="22"/>
        </w:rPr>
        <w:t>Η εταιρεία ανήκει σε τελικό σύνολο επιχειρήσεων για το οποίο καταρτίζονται ενοποιημένες οικονομικές καταστάσεις. Υποχρέωση καταρτίσεως αυτών των ενοποιημένων καταστάσεων έχει η μητρική εταιρεία «ΒΙΑΝΕΞ Α.Ε. ΑΝΩΝΥΜΟΣ ΕΜΠΟΡΟΒΙΟΜΗΧΑΝΙΚΗ-ΤΟΥΡΙΣΤΙΚΗ-ΞΕΝΟΔΟΧΕΙΑΚΗ ΚΑΙ ΝΑΥΤΙΛΙΑΚΗ ΑΝΩΝΥΜΟΣ ΕΤΑΙΡΕΙΑ» με τον διακριτικό τίτλο «ΒΙΑΝΕΞ ΑΕ» με έδρα τα γραφεία της επί της οδού ΤΑΤΟΪΟΥ, 18ο ΧΛΜ ΕΘΝΙΚΗΣ ΟΔΟΥ ΑΘΗΝΩΝ-ΛΑΜΙΑΣ, 146 71, ΚΗΦΙΣΙΑ.</w:t>
      </w:r>
    </w:p>
    <w:p w:rsidR="003506D2" w:rsidRPr="003B0ED9" w:rsidRDefault="003506D2" w:rsidP="001A260B">
      <w:pPr>
        <w:shd w:val="clear" w:color="auto" w:fill="FFFFFF"/>
        <w:spacing w:after="200" w:line="276" w:lineRule="auto"/>
        <w:ind w:left="5" w:right="14" w:firstLine="562"/>
        <w:jc w:val="both"/>
        <w:rPr>
          <w:sz w:val="22"/>
          <w:szCs w:val="22"/>
        </w:rPr>
      </w:pPr>
    </w:p>
    <w:p w:rsidR="00372E08" w:rsidRPr="003B0ED9" w:rsidRDefault="009E738C" w:rsidP="006949A7">
      <w:pPr>
        <w:pStyle w:val="1"/>
        <w:jc w:val="left"/>
      </w:pPr>
      <w:bookmarkStart w:id="59" w:name="_Toc488058553"/>
      <w:bookmarkStart w:id="60" w:name="_Toc15546014"/>
      <w:r w:rsidRPr="003B0ED9">
        <w:rPr>
          <w:lang w:val="el-GR"/>
        </w:rPr>
        <w:t>21</w:t>
      </w:r>
      <w:r w:rsidR="00FF2F42" w:rsidRPr="003B0ED9">
        <w:t xml:space="preserve">. </w:t>
      </w:r>
      <w:r w:rsidR="00372E08" w:rsidRPr="003B0ED9">
        <w:t xml:space="preserve"> Στοιχεία της εταιρείας που καταρτίζει ενοποιημένες χρηματοοικονομικές καταστάσεις μερικού συνόλου επιχειρήσεων, μέρος του οποίου αποτελεί η εταιρεία ως θυγατρική</w:t>
      </w:r>
      <w:bookmarkEnd w:id="59"/>
      <w:bookmarkEnd w:id="60"/>
    </w:p>
    <w:p w:rsidR="00523C3C" w:rsidRPr="003B0ED9" w:rsidRDefault="00523C3C" w:rsidP="00523C3C">
      <w:pPr>
        <w:rPr>
          <w:sz w:val="16"/>
          <w:szCs w:val="16"/>
          <w:lang w:eastAsia="en-US"/>
        </w:rPr>
      </w:pPr>
    </w:p>
    <w:p w:rsidR="001A260B" w:rsidRPr="003B0ED9" w:rsidRDefault="001A260B" w:rsidP="001A260B">
      <w:pPr>
        <w:shd w:val="clear" w:color="auto" w:fill="FFFFFF"/>
        <w:spacing w:after="200" w:line="276" w:lineRule="auto"/>
        <w:ind w:left="5" w:right="14" w:firstLine="562"/>
        <w:jc w:val="both"/>
        <w:rPr>
          <w:sz w:val="22"/>
          <w:szCs w:val="22"/>
        </w:rPr>
      </w:pPr>
      <w:r w:rsidRPr="003B0ED9">
        <w:rPr>
          <w:sz w:val="22"/>
          <w:szCs w:val="22"/>
        </w:rPr>
        <w:t>Η εταιρεία δεν ανήκει σε μερικό σύνολο επιχειρήσεων για το οποίο καταρτίζονται ενοποιημένες οικονομικές καταστάσεις.</w:t>
      </w:r>
    </w:p>
    <w:p w:rsidR="00E42549" w:rsidRPr="003B0ED9" w:rsidRDefault="00FF2F42" w:rsidP="006949A7">
      <w:pPr>
        <w:pStyle w:val="1"/>
        <w:jc w:val="left"/>
      </w:pPr>
      <w:bookmarkStart w:id="61" w:name="_Toc488058554"/>
      <w:bookmarkStart w:id="62" w:name="_Toc15546015"/>
      <w:r w:rsidRPr="003B0ED9">
        <w:t>﻿</w:t>
      </w:r>
      <w:r w:rsidR="009E738C" w:rsidRPr="003B0ED9">
        <w:rPr>
          <w:lang w:val="el-GR"/>
        </w:rPr>
        <w:t>22</w:t>
      </w:r>
      <w:r w:rsidRPr="003B0ED9">
        <w:t>. Τ</w:t>
      </w:r>
      <w:r w:rsidR="00E42549" w:rsidRPr="003B0ED9">
        <w:t>όπος στον οποίο διατίθενται οι ενοποιημένες χρηματοοικονομικές καταστάσεις</w:t>
      </w:r>
      <w:bookmarkEnd w:id="61"/>
      <w:bookmarkEnd w:id="62"/>
    </w:p>
    <w:p w:rsidR="00523C3C" w:rsidRPr="003B0ED9" w:rsidRDefault="00523C3C" w:rsidP="00523C3C">
      <w:pPr>
        <w:rPr>
          <w:sz w:val="16"/>
          <w:szCs w:val="16"/>
          <w:lang w:eastAsia="en-US"/>
        </w:rPr>
      </w:pPr>
    </w:p>
    <w:p w:rsidR="00A64D4E" w:rsidRDefault="00A64D4E" w:rsidP="00A64D4E">
      <w:pPr>
        <w:shd w:val="clear" w:color="auto" w:fill="FFFFFF"/>
        <w:spacing w:after="200" w:line="276" w:lineRule="auto"/>
        <w:ind w:left="5" w:right="14" w:firstLine="562"/>
        <w:jc w:val="both"/>
        <w:rPr>
          <w:sz w:val="22"/>
          <w:szCs w:val="22"/>
        </w:rPr>
      </w:pPr>
      <w:r w:rsidRPr="003B0ED9">
        <w:rPr>
          <w:sz w:val="22"/>
          <w:szCs w:val="22"/>
        </w:rPr>
        <w:t xml:space="preserve">Οι ενδιαφερόμενοι μπορούν να προμηθευτούν τις ενοποιημένες χρηματοοικονομικές καταστάσεις του τελικού συνόλου επιχειρήσεων, στα επί της οδού ΤΑΤΟΪΟΥ, 18ο ΧΛΜ ΕΘΝΙΚΗΣ ΟΔΟΥ ΑΘΗΝΩΝ-ΛΑΜΙΑΣ, 146 71, ΚΗΦΙΣΙΑ γραφεία της μητρικής εταιρείας </w:t>
      </w:r>
      <w:r w:rsidR="006553E2" w:rsidRPr="003B0ED9">
        <w:rPr>
          <w:sz w:val="22"/>
          <w:szCs w:val="22"/>
        </w:rPr>
        <w:t>ΒΙΑΞΕΞ Α.Ε</w:t>
      </w:r>
      <w:r w:rsidRPr="003B0ED9">
        <w:rPr>
          <w:sz w:val="22"/>
          <w:szCs w:val="22"/>
        </w:rPr>
        <w:t>.</w:t>
      </w:r>
    </w:p>
    <w:p w:rsidR="003506D2" w:rsidRPr="003B0ED9" w:rsidRDefault="003506D2" w:rsidP="00A64D4E">
      <w:pPr>
        <w:shd w:val="clear" w:color="auto" w:fill="FFFFFF"/>
        <w:spacing w:after="200" w:line="276" w:lineRule="auto"/>
        <w:ind w:left="5" w:right="14" w:firstLine="562"/>
        <w:jc w:val="both"/>
        <w:rPr>
          <w:sz w:val="22"/>
          <w:szCs w:val="22"/>
        </w:rPr>
      </w:pPr>
    </w:p>
    <w:p w:rsidR="00E42549" w:rsidRPr="00D3458A" w:rsidRDefault="009E738C" w:rsidP="006949A7">
      <w:pPr>
        <w:pStyle w:val="1"/>
        <w:jc w:val="left"/>
      </w:pPr>
      <w:bookmarkStart w:id="63" w:name="_Toc488058555"/>
      <w:bookmarkStart w:id="64" w:name="_Toc15546016"/>
      <w:r w:rsidRPr="00D3458A">
        <w:rPr>
          <w:lang w:val="el-GR"/>
        </w:rPr>
        <w:lastRenderedPageBreak/>
        <w:t>23</w:t>
      </w:r>
      <w:r w:rsidR="00FF2F42" w:rsidRPr="00D3458A">
        <w:t>. Α</w:t>
      </w:r>
      <w:r w:rsidR="00E42549" w:rsidRPr="00D3458A">
        <w:t>μοιβές σε μέλη διοικητικών διαχειριστικών και εποπτικών οργάνων</w:t>
      </w:r>
      <w:bookmarkEnd w:id="63"/>
      <w:bookmarkEnd w:id="64"/>
    </w:p>
    <w:p w:rsidR="00064B23" w:rsidRPr="00D3458A" w:rsidRDefault="00064B23" w:rsidP="00064B23">
      <w:pPr>
        <w:rPr>
          <w:sz w:val="16"/>
          <w:szCs w:val="16"/>
          <w:lang w:eastAsia="en-US"/>
        </w:rPr>
      </w:pPr>
    </w:p>
    <w:p w:rsidR="008115D1" w:rsidRPr="00D3458A" w:rsidRDefault="00BA57FE" w:rsidP="00B82D0D">
      <w:pPr>
        <w:shd w:val="clear" w:color="auto" w:fill="FFFFFF"/>
        <w:spacing w:after="200" w:line="276" w:lineRule="auto"/>
        <w:ind w:left="5" w:right="14" w:firstLine="562"/>
        <w:jc w:val="both"/>
        <w:rPr>
          <w:sz w:val="22"/>
          <w:szCs w:val="22"/>
        </w:rPr>
      </w:pPr>
      <w:r>
        <w:rPr>
          <w:sz w:val="22"/>
          <w:szCs w:val="22"/>
        </w:rPr>
        <w:t>Δεν συντρέχει.</w:t>
      </w:r>
    </w:p>
    <w:p w:rsidR="00685A75" w:rsidRPr="00D3458A" w:rsidRDefault="00685A75" w:rsidP="00064B23">
      <w:pPr>
        <w:pStyle w:val="a8"/>
      </w:pPr>
    </w:p>
    <w:p w:rsidR="003506D2" w:rsidRPr="00D3458A" w:rsidRDefault="003506D2" w:rsidP="00064B23">
      <w:pPr>
        <w:pStyle w:val="a8"/>
      </w:pPr>
    </w:p>
    <w:p w:rsidR="00E42549" w:rsidRPr="00D3458A" w:rsidRDefault="009E738C" w:rsidP="006949A7">
      <w:pPr>
        <w:pStyle w:val="1"/>
        <w:jc w:val="left"/>
      </w:pPr>
      <w:bookmarkStart w:id="65" w:name="_Toc488058556"/>
      <w:bookmarkStart w:id="66" w:name="_Toc15546017"/>
      <w:r w:rsidRPr="00D3458A">
        <w:rPr>
          <w:lang w:val="el-GR"/>
        </w:rPr>
        <w:t>24</w:t>
      </w:r>
      <w:r w:rsidR="00FF2F42" w:rsidRPr="00D3458A">
        <w:t>. Σ</w:t>
      </w:r>
      <w:r w:rsidR="00E42549" w:rsidRPr="00D3458A">
        <w:t>υναλλαγές με συνδεμένα μέρη</w:t>
      </w:r>
      <w:bookmarkEnd w:id="65"/>
      <w:bookmarkEnd w:id="66"/>
    </w:p>
    <w:p w:rsidR="00064B23" w:rsidRPr="00D3458A" w:rsidRDefault="00064B23" w:rsidP="00064B23">
      <w:pPr>
        <w:rPr>
          <w:sz w:val="16"/>
          <w:szCs w:val="16"/>
          <w:lang w:eastAsia="en-US"/>
        </w:rPr>
      </w:pPr>
    </w:p>
    <w:p w:rsidR="00A64D4E" w:rsidRPr="00D3458A" w:rsidRDefault="00A64D4E" w:rsidP="00A64D4E">
      <w:pPr>
        <w:shd w:val="clear" w:color="auto" w:fill="FFFFFF"/>
        <w:spacing w:after="200" w:line="276" w:lineRule="auto"/>
        <w:ind w:left="5" w:right="14" w:firstLine="562"/>
        <w:jc w:val="both"/>
        <w:rPr>
          <w:sz w:val="22"/>
          <w:szCs w:val="22"/>
        </w:rPr>
      </w:pPr>
      <w:r w:rsidRPr="00D3458A">
        <w:rPr>
          <w:sz w:val="22"/>
          <w:szCs w:val="22"/>
        </w:rPr>
        <w:t>Η εταιρεία έχει πραγματοποιήσει τις κατωτέρω συναλλαγές με συνδεμένα μέρη και στο τέλος της χρήσεως έχει τα κατωτέρω υπόλοιπα απαιτήσεων ή υποχρεώσεων από και προς συνδεμένα μέρη:</w:t>
      </w:r>
    </w:p>
    <w:tbl>
      <w:tblPr>
        <w:tblW w:w="9654" w:type="dxa"/>
        <w:tblInd w:w="93" w:type="dxa"/>
        <w:tblLook w:val="04A0" w:firstRow="1" w:lastRow="0" w:firstColumn="1" w:lastColumn="0" w:noHBand="0" w:noVBand="1"/>
      </w:tblPr>
      <w:tblGrid>
        <w:gridCol w:w="5421"/>
        <w:gridCol w:w="2126"/>
        <w:gridCol w:w="2107"/>
      </w:tblGrid>
      <w:tr w:rsidR="00757270" w:rsidRPr="00D3458A" w:rsidTr="00D862A9">
        <w:trPr>
          <w:trHeight w:val="315"/>
        </w:trPr>
        <w:tc>
          <w:tcPr>
            <w:tcW w:w="54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57270" w:rsidRPr="00D3458A" w:rsidRDefault="00757270">
            <w:pPr>
              <w:rPr>
                <w:b/>
                <w:bCs/>
                <w:color w:val="000000"/>
                <w:sz w:val="22"/>
                <w:szCs w:val="22"/>
              </w:rPr>
            </w:pPr>
            <w:r w:rsidRPr="00D3458A">
              <w:rPr>
                <w:b/>
                <w:bCs/>
                <w:color w:val="000000"/>
                <w:sz w:val="22"/>
                <w:szCs w:val="22"/>
              </w:rPr>
              <w:t> </w:t>
            </w:r>
          </w:p>
        </w:tc>
        <w:tc>
          <w:tcPr>
            <w:tcW w:w="2126" w:type="dxa"/>
            <w:tcBorders>
              <w:top w:val="single" w:sz="12" w:space="0" w:color="auto"/>
              <w:left w:val="nil"/>
              <w:bottom w:val="nil"/>
              <w:right w:val="single" w:sz="12" w:space="0" w:color="auto"/>
            </w:tcBorders>
            <w:shd w:val="clear" w:color="auto" w:fill="auto"/>
            <w:vAlign w:val="center"/>
            <w:hideMark/>
          </w:tcPr>
          <w:p w:rsidR="00757270" w:rsidRPr="00D3458A" w:rsidRDefault="00BA57FE" w:rsidP="004B03D1">
            <w:pPr>
              <w:jc w:val="center"/>
              <w:rPr>
                <w:b/>
                <w:bCs/>
                <w:color w:val="000000"/>
                <w:sz w:val="22"/>
                <w:szCs w:val="22"/>
                <w:lang w:val="en-US"/>
              </w:rPr>
            </w:pPr>
            <w:r>
              <w:rPr>
                <w:b/>
                <w:bCs/>
                <w:color w:val="000000"/>
                <w:sz w:val="22"/>
                <w:szCs w:val="22"/>
              </w:rPr>
              <w:t>31/12/202</w:t>
            </w:r>
            <w:r w:rsidR="0080504F">
              <w:rPr>
                <w:b/>
                <w:bCs/>
                <w:color w:val="000000"/>
                <w:sz w:val="22"/>
                <w:szCs w:val="22"/>
              </w:rPr>
              <w:t>1</w:t>
            </w:r>
          </w:p>
        </w:tc>
        <w:tc>
          <w:tcPr>
            <w:tcW w:w="2107" w:type="dxa"/>
            <w:tcBorders>
              <w:top w:val="single" w:sz="12" w:space="0" w:color="auto"/>
              <w:left w:val="nil"/>
              <w:bottom w:val="nil"/>
              <w:right w:val="single" w:sz="12" w:space="0" w:color="auto"/>
            </w:tcBorders>
            <w:shd w:val="clear" w:color="auto" w:fill="auto"/>
            <w:vAlign w:val="center"/>
            <w:hideMark/>
          </w:tcPr>
          <w:p w:rsidR="00757270" w:rsidRPr="00D3458A" w:rsidRDefault="0080504F" w:rsidP="00D3458A">
            <w:pPr>
              <w:jc w:val="center"/>
              <w:rPr>
                <w:b/>
                <w:bCs/>
                <w:color w:val="000000"/>
                <w:sz w:val="22"/>
                <w:szCs w:val="22"/>
                <w:lang w:val="en-US"/>
              </w:rPr>
            </w:pPr>
            <w:r>
              <w:rPr>
                <w:b/>
                <w:bCs/>
                <w:color w:val="000000"/>
                <w:sz w:val="22"/>
                <w:szCs w:val="22"/>
              </w:rPr>
              <w:t>31/12/2020</w:t>
            </w:r>
          </w:p>
        </w:tc>
      </w:tr>
      <w:tr w:rsidR="00757270" w:rsidRPr="00D3458A" w:rsidTr="00D862A9">
        <w:trPr>
          <w:trHeight w:val="315"/>
        </w:trPr>
        <w:tc>
          <w:tcPr>
            <w:tcW w:w="5421" w:type="dxa"/>
            <w:tcBorders>
              <w:top w:val="nil"/>
              <w:left w:val="single" w:sz="12" w:space="0" w:color="auto"/>
              <w:bottom w:val="nil"/>
              <w:right w:val="single" w:sz="12" w:space="0" w:color="auto"/>
            </w:tcBorders>
            <w:shd w:val="clear" w:color="auto" w:fill="auto"/>
            <w:vAlign w:val="center"/>
            <w:hideMark/>
          </w:tcPr>
          <w:p w:rsidR="00757270" w:rsidRPr="00D3458A" w:rsidRDefault="00757270">
            <w:pPr>
              <w:rPr>
                <w:b/>
                <w:bCs/>
                <w:color w:val="000000"/>
                <w:sz w:val="22"/>
                <w:szCs w:val="22"/>
              </w:rPr>
            </w:pPr>
            <w:r w:rsidRPr="00D3458A">
              <w:rPr>
                <w:b/>
                <w:bCs/>
                <w:color w:val="000000"/>
                <w:sz w:val="22"/>
                <w:szCs w:val="22"/>
              </w:rPr>
              <w:t>Σωρευτικές πωλήσεις</w:t>
            </w:r>
          </w:p>
        </w:tc>
        <w:tc>
          <w:tcPr>
            <w:tcW w:w="2126" w:type="dxa"/>
            <w:tcBorders>
              <w:top w:val="single" w:sz="12" w:space="0" w:color="auto"/>
              <w:left w:val="nil"/>
              <w:right w:val="single" w:sz="12" w:space="0" w:color="auto"/>
            </w:tcBorders>
            <w:shd w:val="clear" w:color="auto" w:fill="auto"/>
            <w:vAlign w:val="center"/>
            <w:hideMark/>
          </w:tcPr>
          <w:p w:rsidR="00757270" w:rsidRPr="00D3458A" w:rsidRDefault="00757270">
            <w:pPr>
              <w:rPr>
                <w:color w:val="000000"/>
                <w:sz w:val="22"/>
                <w:szCs w:val="22"/>
              </w:rPr>
            </w:pPr>
            <w:r w:rsidRPr="00D3458A">
              <w:rPr>
                <w:color w:val="000000"/>
                <w:sz w:val="22"/>
                <w:szCs w:val="22"/>
              </w:rPr>
              <w:t> </w:t>
            </w:r>
          </w:p>
        </w:tc>
        <w:tc>
          <w:tcPr>
            <w:tcW w:w="2107" w:type="dxa"/>
            <w:tcBorders>
              <w:top w:val="single" w:sz="12" w:space="0" w:color="auto"/>
              <w:left w:val="nil"/>
              <w:right w:val="single" w:sz="12" w:space="0" w:color="auto"/>
            </w:tcBorders>
            <w:shd w:val="clear" w:color="auto" w:fill="auto"/>
            <w:vAlign w:val="center"/>
            <w:hideMark/>
          </w:tcPr>
          <w:p w:rsidR="00757270" w:rsidRPr="00D3458A" w:rsidRDefault="00757270">
            <w:pPr>
              <w:rPr>
                <w:color w:val="000000"/>
                <w:sz w:val="22"/>
                <w:szCs w:val="22"/>
              </w:rPr>
            </w:pPr>
            <w:r w:rsidRPr="00D3458A">
              <w:rPr>
                <w:color w:val="000000"/>
                <w:sz w:val="22"/>
                <w:szCs w:val="22"/>
              </w:rPr>
              <w:t> </w:t>
            </w:r>
          </w:p>
        </w:tc>
      </w:tr>
      <w:tr w:rsidR="0080504F" w:rsidRPr="00D3458A" w:rsidTr="00D862A9">
        <w:trPr>
          <w:trHeight w:val="300"/>
        </w:trPr>
        <w:tc>
          <w:tcPr>
            <w:tcW w:w="5421" w:type="dxa"/>
            <w:tcBorders>
              <w:top w:val="nil"/>
              <w:left w:val="single" w:sz="12" w:space="0" w:color="auto"/>
              <w:bottom w:val="nil"/>
              <w:right w:val="single" w:sz="12" w:space="0" w:color="auto"/>
            </w:tcBorders>
            <w:shd w:val="clear" w:color="auto" w:fill="auto"/>
            <w:vAlign w:val="center"/>
            <w:hideMark/>
          </w:tcPr>
          <w:p w:rsidR="0080504F" w:rsidRPr="00D3458A" w:rsidRDefault="0080504F" w:rsidP="0080504F">
            <w:pPr>
              <w:rPr>
                <w:color w:val="000000"/>
                <w:sz w:val="22"/>
                <w:szCs w:val="22"/>
              </w:rPr>
            </w:pPr>
            <w:r w:rsidRPr="00D3458A">
              <w:rPr>
                <w:color w:val="000000"/>
                <w:sz w:val="22"/>
                <w:szCs w:val="22"/>
              </w:rPr>
              <w:t>Πωλήσεις υπηρεσιών</w:t>
            </w:r>
          </w:p>
        </w:tc>
        <w:tc>
          <w:tcPr>
            <w:tcW w:w="2126" w:type="dxa"/>
            <w:tcBorders>
              <w:top w:val="nil"/>
              <w:left w:val="nil"/>
              <w:bottom w:val="single" w:sz="4" w:space="0" w:color="auto"/>
              <w:right w:val="single" w:sz="12" w:space="0" w:color="auto"/>
            </w:tcBorders>
            <w:shd w:val="clear" w:color="auto" w:fill="auto"/>
            <w:vAlign w:val="center"/>
            <w:hideMark/>
          </w:tcPr>
          <w:p w:rsidR="0080504F" w:rsidRPr="00D3458A" w:rsidRDefault="0080504F" w:rsidP="0080504F">
            <w:pPr>
              <w:jc w:val="right"/>
              <w:rPr>
                <w:color w:val="000000"/>
                <w:sz w:val="22"/>
                <w:szCs w:val="22"/>
              </w:rPr>
            </w:pPr>
            <w:r>
              <w:rPr>
                <w:color w:val="000000"/>
                <w:sz w:val="22"/>
                <w:szCs w:val="22"/>
              </w:rPr>
              <w:t>10.0</w:t>
            </w:r>
            <w:r w:rsidRPr="00BA57FE">
              <w:rPr>
                <w:color w:val="000000"/>
                <w:sz w:val="22"/>
                <w:szCs w:val="22"/>
              </w:rPr>
              <w:t>00,00</w:t>
            </w:r>
          </w:p>
        </w:tc>
        <w:tc>
          <w:tcPr>
            <w:tcW w:w="2107" w:type="dxa"/>
            <w:tcBorders>
              <w:top w:val="nil"/>
              <w:left w:val="nil"/>
              <w:bottom w:val="single" w:sz="4" w:space="0" w:color="auto"/>
              <w:right w:val="single" w:sz="12" w:space="0" w:color="auto"/>
            </w:tcBorders>
            <w:shd w:val="clear" w:color="auto" w:fill="auto"/>
            <w:vAlign w:val="center"/>
            <w:hideMark/>
          </w:tcPr>
          <w:p w:rsidR="0080504F" w:rsidRPr="00D3458A" w:rsidRDefault="0080504F" w:rsidP="0080504F">
            <w:pPr>
              <w:jc w:val="right"/>
              <w:rPr>
                <w:color w:val="000000"/>
                <w:sz w:val="22"/>
                <w:szCs w:val="22"/>
              </w:rPr>
            </w:pPr>
            <w:r w:rsidRPr="00BA57FE">
              <w:rPr>
                <w:color w:val="000000"/>
                <w:sz w:val="22"/>
                <w:szCs w:val="22"/>
              </w:rPr>
              <w:t>11.200,00</w:t>
            </w:r>
          </w:p>
        </w:tc>
      </w:tr>
      <w:tr w:rsidR="0080504F" w:rsidRPr="00D3458A" w:rsidTr="00D862A9">
        <w:trPr>
          <w:trHeight w:val="315"/>
        </w:trPr>
        <w:tc>
          <w:tcPr>
            <w:tcW w:w="5421" w:type="dxa"/>
            <w:tcBorders>
              <w:top w:val="nil"/>
              <w:left w:val="single" w:sz="12" w:space="0" w:color="auto"/>
              <w:bottom w:val="nil"/>
              <w:right w:val="single" w:sz="12" w:space="0" w:color="auto"/>
            </w:tcBorders>
            <w:shd w:val="clear" w:color="auto" w:fill="auto"/>
            <w:vAlign w:val="center"/>
            <w:hideMark/>
          </w:tcPr>
          <w:p w:rsidR="0080504F" w:rsidRPr="00D3458A" w:rsidRDefault="0080504F" w:rsidP="0080504F">
            <w:pPr>
              <w:rPr>
                <w:color w:val="000000"/>
                <w:sz w:val="22"/>
                <w:szCs w:val="22"/>
              </w:rPr>
            </w:pPr>
            <w:r w:rsidRPr="00D3458A">
              <w:rPr>
                <w:color w:val="000000"/>
                <w:sz w:val="22"/>
                <w:szCs w:val="22"/>
              </w:rPr>
              <w:t> </w:t>
            </w:r>
          </w:p>
        </w:tc>
        <w:tc>
          <w:tcPr>
            <w:tcW w:w="2126" w:type="dxa"/>
            <w:tcBorders>
              <w:top w:val="single" w:sz="4" w:space="0" w:color="auto"/>
              <w:left w:val="nil"/>
              <w:bottom w:val="double" w:sz="6" w:space="0" w:color="auto"/>
              <w:right w:val="single" w:sz="12" w:space="0" w:color="auto"/>
            </w:tcBorders>
            <w:shd w:val="clear" w:color="auto" w:fill="auto"/>
            <w:vAlign w:val="center"/>
            <w:hideMark/>
          </w:tcPr>
          <w:p w:rsidR="0080504F" w:rsidRPr="00D3458A" w:rsidRDefault="0080504F" w:rsidP="0080504F">
            <w:pPr>
              <w:jc w:val="right"/>
              <w:rPr>
                <w:b/>
                <w:bCs/>
                <w:color w:val="000000"/>
                <w:sz w:val="22"/>
                <w:szCs w:val="22"/>
              </w:rPr>
            </w:pPr>
            <w:r>
              <w:rPr>
                <w:b/>
                <w:bCs/>
                <w:color w:val="000000"/>
                <w:sz w:val="22"/>
                <w:szCs w:val="22"/>
              </w:rPr>
              <w:t>10.0</w:t>
            </w:r>
            <w:r w:rsidRPr="00BA57FE">
              <w:rPr>
                <w:b/>
                <w:bCs/>
                <w:color w:val="000000"/>
                <w:sz w:val="22"/>
                <w:szCs w:val="22"/>
              </w:rPr>
              <w:t>00,00</w:t>
            </w:r>
          </w:p>
        </w:tc>
        <w:tc>
          <w:tcPr>
            <w:tcW w:w="2107" w:type="dxa"/>
            <w:tcBorders>
              <w:top w:val="single" w:sz="4" w:space="0" w:color="auto"/>
              <w:left w:val="nil"/>
              <w:bottom w:val="double" w:sz="6" w:space="0" w:color="auto"/>
              <w:right w:val="single" w:sz="12" w:space="0" w:color="auto"/>
            </w:tcBorders>
            <w:shd w:val="clear" w:color="auto" w:fill="auto"/>
            <w:vAlign w:val="center"/>
            <w:hideMark/>
          </w:tcPr>
          <w:p w:rsidR="0080504F" w:rsidRPr="00D3458A" w:rsidRDefault="0080504F" w:rsidP="0080504F">
            <w:pPr>
              <w:jc w:val="right"/>
              <w:rPr>
                <w:b/>
                <w:bCs/>
                <w:color w:val="000000"/>
                <w:sz w:val="22"/>
                <w:szCs w:val="22"/>
              </w:rPr>
            </w:pPr>
            <w:r w:rsidRPr="00BA57FE">
              <w:rPr>
                <w:b/>
                <w:bCs/>
                <w:color w:val="000000"/>
                <w:sz w:val="22"/>
                <w:szCs w:val="22"/>
              </w:rPr>
              <w:t>11.200,00</w:t>
            </w:r>
          </w:p>
        </w:tc>
      </w:tr>
      <w:tr w:rsidR="00BA57FE" w:rsidRPr="00D3458A" w:rsidTr="00D862A9">
        <w:trPr>
          <w:trHeight w:val="300"/>
        </w:trPr>
        <w:tc>
          <w:tcPr>
            <w:tcW w:w="5421" w:type="dxa"/>
            <w:tcBorders>
              <w:top w:val="nil"/>
              <w:left w:val="single" w:sz="12" w:space="0" w:color="auto"/>
              <w:bottom w:val="nil"/>
              <w:right w:val="single" w:sz="12" w:space="0" w:color="auto"/>
            </w:tcBorders>
            <w:shd w:val="clear" w:color="auto" w:fill="auto"/>
            <w:vAlign w:val="center"/>
            <w:hideMark/>
          </w:tcPr>
          <w:p w:rsidR="00BA57FE" w:rsidRPr="00D3458A" w:rsidRDefault="00BA57FE" w:rsidP="00BA57FE">
            <w:pPr>
              <w:rPr>
                <w:b/>
                <w:bCs/>
                <w:color w:val="000000"/>
                <w:sz w:val="22"/>
                <w:szCs w:val="22"/>
              </w:rPr>
            </w:pPr>
            <w:r w:rsidRPr="00D3458A">
              <w:rPr>
                <w:b/>
                <w:bCs/>
                <w:color w:val="000000"/>
                <w:sz w:val="22"/>
                <w:szCs w:val="22"/>
              </w:rPr>
              <w:t>Υπόλοιπα απαιτήσεων τέλους χρήσεως</w:t>
            </w:r>
          </w:p>
        </w:tc>
        <w:tc>
          <w:tcPr>
            <w:tcW w:w="2126" w:type="dxa"/>
            <w:tcBorders>
              <w:top w:val="nil"/>
              <w:left w:val="nil"/>
              <w:right w:val="single" w:sz="12" w:space="0" w:color="auto"/>
            </w:tcBorders>
            <w:shd w:val="clear" w:color="auto" w:fill="auto"/>
            <w:vAlign w:val="center"/>
            <w:hideMark/>
          </w:tcPr>
          <w:p w:rsidR="00BA57FE" w:rsidRPr="00D3458A" w:rsidRDefault="00BA57FE" w:rsidP="00BA57FE">
            <w:pPr>
              <w:jc w:val="right"/>
              <w:rPr>
                <w:b/>
                <w:bCs/>
                <w:color w:val="000000"/>
                <w:sz w:val="22"/>
                <w:szCs w:val="22"/>
              </w:rPr>
            </w:pPr>
            <w:r w:rsidRPr="00D3458A">
              <w:rPr>
                <w:b/>
                <w:bCs/>
                <w:color w:val="000000"/>
                <w:sz w:val="22"/>
                <w:szCs w:val="22"/>
              </w:rPr>
              <w:t> </w:t>
            </w:r>
          </w:p>
        </w:tc>
        <w:tc>
          <w:tcPr>
            <w:tcW w:w="2107" w:type="dxa"/>
            <w:tcBorders>
              <w:top w:val="nil"/>
              <w:left w:val="nil"/>
              <w:right w:val="single" w:sz="12" w:space="0" w:color="auto"/>
            </w:tcBorders>
            <w:shd w:val="clear" w:color="auto" w:fill="auto"/>
            <w:vAlign w:val="center"/>
            <w:hideMark/>
          </w:tcPr>
          <w:p w:rsidR="00BA57FE" w:rsidRPr="00D3458A" w:rsidRDefault="00BA57FE" w:rsidP="00BA57FE">
            <w:pPr>
              <w:jc w:val="right"/>
              <w:rPr>
                <w:b/>
                <w:bCs/>
                <w:color w:val="000000"/>
                <w:sz w:val="22"/>
                <w:szCs w:val="22"/>
              </w:rPr>
            </w:pPr>
            <w:r w:rsidRPr="00D3458A">
              <w:rPr>
                <w:b/>
                <w:bCs/>
                <w:color w:val="000000"/>
                <w:sz w:val="22"/>
                <w:szCs w:val="22"/>
              </w:rPr>
              <w:t> </w:t>
            </w:r>
          </w:p>
        </w:tc>
      </w:tr>
      <w:tr w:rsidR="00BA57FE" w:rsidRPr="00D3458A" w:rsidTr="00D862A9">
        <w:trPr>
          <w:trHeight w:val="300"/>
        </w:trPr>
        <w:tc>
          <w:tcPr>
            <w:tcW w:w="5421" w:type="dxa"/>
            <w:tcBorders>
              <w:top w:val="nil"/>
              <w:left w:val="single" w:sz="12" w:space="0" w:color="auto"/>
              <w:bottom w:val="nil"/>
              <w:right w:val="single" w:sz="12" w:space="0" w:color="auto"/>
            </w:tcBorders>
            <w:shd w:val="clear" w:color="auto" w:fill="auto"/>
            <w:vAlign w:val="center"/>
            <w:hideMark/>
          </w:tcPr>
          <w:p w:rsidR="00BA57FE" w:rsidRPr="00D3458A" w:rsidRDefault="00BA57FE" w:rsidP="00BA57FE">
            <w:pPr>
              <w:rPr>
                <w:color w:val="000000"/>
                <w:sz w:val="22"/>
                <w:szCs w:val="22"/>
              </w:rPr>
            </w:pPr>
            <w:r w:rsidRPr="00D3458A">
              <w:rPr>
                <w:color w:val="000000"/>
                <w:sz w:val="22"/>
                <w:szCs w:val="22"/>
              </w:rPr>
              <w:t xml:space="preserve">Απαιτήσεις από πωλήσεις αγαθών και υπηρεσιών  </w:t>
            </w:r>
          </w:p>
        </w:tc>
        <w:tc>
          <w:tcPr>
            <w:tcW w:w="2126" w:type="dxa"/>
            <w:tcBorders>
              <w:top w:val="nil"/>
              <w:left w:val="nil"/>
              <w:bottom w:val="single" w:sz="4" w:space="0" w:color="auto"/>
              <w:right w:val="single" w:sz="12" w:space="0" w:color="auto"/>
            </w:tcBorders>
            <w:shd w:val="clear" w:color="auto" w:fill="auto"/>
            <w:vAlign w:val="center"/>
            <w:hideMark/>
          </w:tcPr>
          <w:p w:rsidR="00BA57FE" w:rsidRPr="00D3458A" w:rsidRDefault="00BA57FE" w:rsidP="00BA57FE">
            <w:pPr>
              <w:jc w:val="right"/>
              <w:rPr>
                <w:color w:val="000000"/>
                <w:sz w:val="22"/>
                <w:szCs w:val="22"/>
              </w:rPr>
            </w:pPr>
            <w:r w:rsidRPr="00D3458A">
              <w:rPr>
                <w:color w:val="000000"/>
                <w:sz w:val="22"/>
                <w:szCs w:val="22"/>
              </w:rPr>
              <w:t>0,00</w:t>
            </w:r>
          </w:p>
        </w:tc>
        <w:tc>
          <w:tcPr>
            <w:tcW w:w="2107" w:type="dxa"/>
            <w:tcBorders>
              <w:top w:val="nil"/>
              <w:left w:val="nil"/>
              <w:bottom w:val="single" w:sz="4" w:space="0" w:color="auto"/>
              <w:right w:val="single" w:sz="12" w:space="0" w:color="auto"/>
            </w:tcBorders>
            <w:shd w:val="clear" w:color="auto" w:fill="auto"/>
            <w:vAlign w:val="center"/>
            <w:hideMark/>
          </w:tcPr>
          <w:p w:rsidR="00BA57FE" w:rsidRPr="00D3458A" w:rsidRDefault="00BA57FE" w:rsidP="00BA57FE">
            <w:pPr>
              <w:jc w:val="right"/>
              <w:rPr>
                <w:color w:val="000000"/>
                <w:sz w:val="22"/>
                <w:szCs w:val="22"/>
              </w:rPr>
            </w:pPr>
            <w:r w:rsidRPr="00D3458A">
              <w:rPr>
                <w:color w:val="000000"/>
                <w:sz w:val="22"/>
                <w:szCs w:val="22"/>
              </w:rPr>
              <w:t>0,00</w:t>
            </w:r>
          </w:p>
        </w:tc>
      </w:tr>
      <w:tr w:rsidR="00BA57FE" w:rsidRPr="00D3458A" w:rsidTr="00D862A9">
        <w:trPr>
          <w:trHeight w:val="315"/>
        </w:trPr>
        <w:tc>
          <w:tcPr>
            <w:tcW w:w="5421" w:type="dxa"/>
            <w:tcBorders>
              <w:top w:val="nil"/>
              <w:left w:val="single" w:sz="12" w:space="0" w:color="auto"/>
              <w:bottom w:val="nil"/>
              <w:right w:val="single" w:sz="12" w:space="0" w:color="auto"/>
            </w:tcBorders>
            <w:shd w:val="clear" w:color="auto" w:fill="auto"/>
            <w:vAlign w:val="center"/>
            <w:hideMark/>
          </w:tcPr>
          <w:p w:rsidR="00BA57FE" w:rsidRPr="00D3458A" w:rsidRDefault="00BA57FE" w:rsidP="00BA57FE">
            <w:pPr>
              <w:rPr>
                <w:color w:val="000000"/>
                <w:sz w:val="22"/>
                <w:szCs w:val="22"/>
              </w:rPr>
            </w:pPr>
            <w:r w:rsidRPr="00D3458A">
              <w:rPr>
                <w:color w:val="000000"/>
                <w:sz w:val="22"/>
                <w:szCs w:val="22"/>
              </w:rPr>
              <w:t> </w:t>
            </w:r>
          </w:p>
        </w:tc>
        <w:tc>
          <w:tcPr>
            <w:tcW w:w="2126" w:type="dxa"/>
            <w:tcBorders>
              <w:top w:val="single" w:sz="4" w:space="0" w:color="auto"/>
              <w:left w:val="nil"/>
              <w:bottom w:val="double" w:sz="6" w:space="0" w:color="auto"/>
              <w:right w:val="single" w:sz="12" w:space="0" w:color="auto"/>
            </w:tcBorders>
            <w:shd w:val="clear" w:color="auto" w:fill="auto"/>
            <w:vAlign w:val="center"/>
            <w:hideMark/>
          </w:tcPr>
          <w:p w:rsidR="00BA57FE" w:rsidRPr="00D3458A" w:rsidRDefault="00BA57FE" w:rsidP="00BA57FE">
            <w:pPr>
              <w:jc w:val="right"/>
              <w:rPr>
                <w:b/>
                <w:bCs/>
                <w:color w:val="000000"/>
                <w:sz w:val="22"/>
                <w:szCs w:val="22"/>
              </w:rPr>
            </w:pPr>
            <w:r w:rsidRPr="00D3458A">
              <w:rPr>
                <w:b/>
                <w:bCs/>
                <w:color w:val="000000"/>
                <w:sz w:val="22"/>
                <w:szCs w:val="22"/>
              </w:rPr>
              <w:t>0,00</w:t>
            </w:r>
          </w:p>
        </w:tc>
        <w:tc>
          <w:tcPr>
            <w:tcW w:w="2107" w:type="dxa"/>
            <w:tcBorders>
              <w:top w:val="single" w:sz="4" w:space="0" w:color="auto"/>
              <w:left w:val="nil"/>
              <w:bottom w:val="double" w:sz="6" w:space="0" w:color="auto"/>
              <w:right w:val="single" w:sz="12" w:space="0" w:color="auto"/>
            </w:tcBorders>
            <w:shd w:val="clear" w:color="auto" w:fill="auto"/>
            <w:vAlign w:val="center"/>
            <w:hideMark/>
          </w:tcPr>
          <w:p w:rsidR="00BA57FE" w:rsidRPr="00D3458A" w:rsidRDefault="00BA57FE" w:rsidP="00BA57FE">
            <w:pPr>
              <w:jc w:val="right"/>
              <w:rPr>
                <w:b/>
                <w:bCs/>
                <w:color w:val="000000"/>
                <w:sz w:val="22"/>
                <w:szCs w:val="22"/>
              </w:rPr>
            </w:pPr>
            <w:r w:rsidRPr="00D3458A">
              <w:rPr>
                <w:b/>
                <w:bCs/>
                <w:color w:val="000000"/>
                <w:sz w:val="22"/>
                <w:szCs w:val="22"/>
              </w:rPr>
              <w:t>0,00</w:t>
            </w:r>
          </w:p>
        </w:tc>
      </w:tr>
      <w:tr w:rsidR="00BA57FE" w:rsidRPr="00D3458A" w:rsidTr="00D862A9">
        <w:trPr>
          <w:trHeight w:val="315"/>
        </w:trPr>
        <w:tc>
          <w:tcPr>
            <w:tcW w:w="5421" w:type="dxa"/>
            <w:tcBorders>
              <w:top w:val="nil"/>
              <w:left w:val="single" w:sz="12" w:space="0" w:color="auto"/>
              <w:bottom w:val="nil"/>
              <w:right w:val="single" w:sz="12" w:space="0" w:color="auto"/>
            </w:tcBorders>
            <w:shd w:val="clear" w:color="auto" w:fill="auto"/>
            <w:vAlign w:val="center"/>
            <w:hideMark/>
          </w:tcPr>
          <w:p w:rsidR="00BA57FE" w:rsidRPr="00D3458A" w:rsidRDefault="00BA57FE" w:rsidP="00BA57FE">
            <w:pPr>
              <w:rPr>
                <w:b/>
                <w:bCs/>
                <w:color w:val="000000"/>
                <w:sz w:val="22"/>
                <w:szCs w:val="22"/>
              </w:rPr>
            </w:pPr>
            <w:r w:rsidRPr="00D3458A">
              <w:rPr>
                <w:b/>
                <w:bCs/>
                <w:color w:val="000000"/>
                <w:sz w:val="22"/>
                <w:szCs w:val="22"/>
              </w:rPr>
              <w:t>Υπόλοιπα υποχρεώσεων τέλους χρήσεως</w:t>
            </w:r>
          </w:p>
        </w:tc>
        <w:tc>
          <w:tcPr>
            <w:tcW w:w="2126" w:type="dxa"/>
            <w:tcBorders>
              <w:top w:val="nil"/>
              <w:left w:val="nil"/>
              <w:bottom w:val="nil"/>
              <w:right w:val="single" w:sz="12" w:space="0" w:color="auto"/>
            </w:tcBorders>
            <w:shd w:val="clear" w:color="auto" w:fill="auto"/>
            <w:vAlign w:val="center"/>
            <w:hideMark/>
          </w:tcPr>
          <w:p w:rsidR="00BA57FE" w:rsidRPr="00D3458A" w:rsidRDefault="00BA57FE" w:rsidP="00BA57FE">
            <w:pPr>
              <w:jc w:val="right"/>
              <w:rPr>
                <w:color w:val="000000"/>
                <w:sz w:val="22"/>
                <w:szCs w:val="22"/>
              </w:rPr>
            </w:pPr>
            <w:r w:rsidRPr="00D3458A">
              <w:rPr>
                <w:color w:val="000000"/>
                <w:sz w:val="22"/>
                <w:szCs w:val="22"/>
              </w:rPr>
              <w:t> </w:t>
            </w:r>
          </w:p>
        </w:tc>
        <w:tc>
          <w:tcPr>
            <w:tcW w:w="2107" w:type="dxa"/>
            <w:tcBorders>
              <w:top w:val="nil"/>
              <w:left w:val="nil"/>
              <w:bottom w:val="nil"/>
              <w:right w:val="single" w:sz="12" w:space="0" w:color="auto"/>
            </w:tcBorders>
            <w:shd w:val="clear" w:color="auto" w:fill="auto"/>
            <w:vAlign w:val="center"/>
            <w:hideMark/>
          </w:tcPr>
          <w:p w:rsidR="00BA57FE" w:rsidRPr="00D3458A" w:rsidRDefault="00BA57FE" w:rsidP="00BA57FE">
            <w:pPr>
              <w:jc w:val="right"/>
              <w:rPr>
                <w:color w:val="000000"/>
                <w:sz w:val="22"/>
                <w:szCs w:val="22"/>
              </w:rPr>
            </w:pPr>
            <w:r w:rsidRPr="00D3458A">
              <w:rPr>
                <w:color w:val="000000"/>
                <w:sz w:val="22"/>
                <w:szCs w:val="22"/>
              </w:rPr>
              <w:t> </w:t>
            </w:r>
          </w:p>
        </w:tc>
      </w:tr>
      <w:tr w:rsidR="00BA57FE" w:rsidRPr="00D3458A" w:rsidTr="00D862A9">
        <w:trPr>
          <w:trHeight w:val="315"/>
        </w:trPr>
        <w:tc>
          <w:tcPr>
            <w:tcW w:w="5421" w:type="dxa"/>
            <w:tcBorders>
              <w:top w:val="nil"/>
              <w:left w:val="single" w:sz="12" w:space="0" w:color="auto"/>
              <w:bottom w:val="nil"/>
              <w:right w:val="single" w:sz="12" w:space="0" w:color="auto"/>
            </w:tcBorders>
            <w:shd w:val="clear" w:color="auto" w:fill="auto"/>
            <w:vAlign w:val="center"/>
            <w:hideMark/>
          </w:tcPr>
          <w:p w:rsidR="00BA57FE" w:rsidRPr="00D3458A" w:rsidRDefault="00BA57FE" w:rsidP="00BA57FE">
            <w:pPr>
              <w:rPr>
                <w:color w:val="000000"/>
                <w:sz w:val="22"/>
                <w:szCs w:val="22"/>
              </w:rPr>
            </w:pPr>
            <w:r w:rsidRPr="00D3458A">
              <w:rPr>
                <w:color w:val="000000"/>
                <w:sz w:val="22"/>
                <w:szCs w:val="22"/>
              </w:rPr>
              <w:t>Λοιπές υποχρεώσεις</w:t>
            </w:r>
          </w:p>
        </w:tc>
        <w:tc>
          <w:tcPr>
            <w:tcW w:w="2126" w:type="dxa"/>
            <w:tcBorders>
              <w:top w:val="nil"/>
              <w:left w:val="nil"/>
              <w:bottom w:val="single" w:sz="8" w:space="0" w:color="auto"/>
              <w:right w:val="single" w:sz="12" w:space="0" w:color="auto"/>
            </w:tcBorders>
            <w:shd w:val="clear" w:color="auto" w:fill="auto"/>
            <w:vAlign w:val="center"/>
            <w:hideMark/>
          </w:tcPr>
          <w:p w:rsidR="00BA57FE" w:rsidRPr="00D3458A" w:rsidRDefault="00BA57FE" w:rsidP="00BA57FE">
            <w:pPr>
              <w:jc w:val="right"/>
              <w:rPr>
                <w:color w:val="000000"/>
                <w:sz w:val="22"/>
                <w:szCs w:val="22"/>
              </w:rPr>
            </w:pPr>
            <w:r w:rsidRPr="00D3458A">
              <w:rPr>
                <w:color w:val="000000"/>
                <w:sz w:val="22"/>
                <w:szCs w:val="22"/>
              </w:rPr>
              <w:t>602.675,00</w:t>
            </w:r>
          </w:p>
        </w:tc>
        <w:tc>
          <w:tcPr>
            <w:tcW w:w="2107" w:type="dxa"/>
            <w:tcBorders>
              <w:top w:val="nil"/>
              <w:left w:val="nil"/>
              <w:bottom w:val="single" w:sz="8" w:space="0" w:color="auto"/>
              <w:right w:val="single" w:sz="12" w:space="0" w:color="auto"/>
            </w:tcBorders>
            <w:shd w:val="clear" w:color="auto" w:fill="auto"/>
            <w:vAlign w:val="center"/>
            <w:hideMark/>
          </w:tcPr>
          <w:p w:rsidR="00BA57FE" w:rsidRPr="00D3458A" w:rsidRDefault="00BA57FE" w:rsidP="00BA57FE">
            <w:pPr>
              <w:jc w:val="right"/>
              <w:rPr>
                <w:color w:val="000000"/>
                <w:sz w:val="22"/>
                <w:szCs w:val="22"/>
              </w:rPr>
            </w:pPr>
            <w:r w:rsidRPr="00D3458A">
              <w:rPr>
                <w:color w:val="000000"/>
                <w:sz w:val="22"/>
                <w:szCs w:val="22"/>
              </w:rPr>
              <w:t>602.675,00</w:t>
            </w:r>
          </w:p>
        </w:tc>
      </w:tr>
      <w:tr w:rsidR="00BA57FE" w:rsidRPr="00A131AE" w:rsidTr="00D862A9">
        <w:trPr>
          <w:trHeight w:val="315"/>
        </w:trPr>
        <w:tc>
          <w:tcPr>
            <w:tcW w:w="5421" w:type="dxa"/>
            <w:tcBorders>
              <w:top w:val="nil"/>
              <w:left w:val="single" w:sz="12" w:space="0" w:color="auto"/>
              <w:bottom w:val="single" w:sz="12" w:space="0" w:color="auto"/>
              <w:right w:val="single" w:sz="12" w:space="0" w:color="auto"/>
            </w:tcBorders>
            <w:shd w:val="clear" w:color="auto" w:fill="auto"/>
            <w:vAlign w:val="center"/>
            <w:hideMark/>
          </w:tcPr>
          <w:p w:rsidR="00BA57FE" w:rsidRPr="00D3458A" w:rsidRDefault="00BA57FE" w:rsidP="00BA57FE">
            <w:pPr>
              <w:rPr>
                <w:color w:val="000000"/>
                <w:sz w:val="22"/>
                <w:szCs w:val="22"/>
              </w:rPr>
            </w:pPr>
            <w:r w:rsidRPr="00D3458A">
              <w:rPr>
                <w:color w:val="000000"/>
                <w:sz w:val="22"/>
                <w:szCs w:val="22"/>
              </w:rPr>
              <w:t> </w:t>
            </w:r>
          </w:p>
        </w:tc>
        <w:tc>
          <w:tcPr>
            <w:tcW w:w="2126" w:type="dxa"/>
            <w:tcBorders>
              <w:top w:val="nil"/>
              <w:left w:val="nil"/>
              <w:bottom w:val="double" w:sz="6" w:space="0" w:color="auto"/>
              <w:right w:val="single" w:sz="12" w:space="0" w:color="auto"/>
            </w:tcBorders>
            <w:shd w:val="clear" w:color="auto" w:fill="auto"/>
            <w:vAlign w:val="center"/>
            <w:hideMark/>
          </w:tcPr>
          <w:p w:rsidR="00BA57FE" w:rsidRPr="00D3458A" w:rsidRDefault="00BA57FE" w:rsidP="00BA57FE">
            <w:pPr>
              <w:jc w:val="right"/>
              <w:rPr>
                <w:b/>
                <w:bCs/>
                <w:color w:val="000000"/>
                <w:sz w:val="22"/>
                <w:szCs w:val="22"/>
              </w:rPr>
            </w:pPr>
            <w:r w:rsidRPr="00D3458A">
              <w:rPr>
                <w:b/>
                <w:bCs/>
                <w:color w:val="000000"/>
                <w:sz w:val="22"/>
                <w:szCs w:val="22"/>
              </w:rPr>
              <w:t>602.675,00</w:t>
            </w:r>
          </w:p>
        </w:tc>
        <w:tc>
          <w:tcPr>
            <w:tcW w:w="2107" w:type="dxa"/>
            <w:tcBorders>
              <w:top w:val="nil"/>
              <w:left w:val="nil"/>
              <w:bottom w:val="double" w:sz="6" w:space="0" w:color="auto"/>
              <w:right w:val="single" w:sz="12" w:space="0" w:color="auto"/>
            </w:tcBorders>
            <w:shd w:val="clear" w:color="auto" w:fill="auto"/>
            <w:vAlign w:val="center"/>
            <w:hideMark/>
          </w:tcPr>
          <w:p w:rsidR="00BA57FE" w:rsidRPr="00D3458A" w:rsidRDefault="00BA57FE" w:rsidP="00BA57FE">
            <w:pPr>
              <w:jc w:val="right"/>
              <w:rPr>
                <w:b/>
                <w:bCs/>
                <w:color w:val="000000"/>
                <w:sz w:val="22"/>
                <w:szCs w:val="22"/>
              </w:rPr>
            </w:pPr>
            <w:r w:rsidRPr="00D3458A">
              <w:rPr>
                <w:b/>
                <w:bCs/>
                <w:color w:val="000000"/>
                <w:sz w:val="22"/>
                <w:szCs w:val="22"/>
              </w:rPr>
              <w:t>602.675,00</w:t>
            </w:r>
          </w:p>
        </w:tc>
      </w:tr>
    </w:tbl>
    <w:p w:rsidR="00F33C01" w:rsidRPr="00A131AE" w:rsidRDefault="00F33C01" w:rsidP="00064B23">
      <w:pPr>
        <w:pStyle w:val="a8"/>
        <w:rPr>
          <w:highlight w:val="yellow"/>
        </w:rPr>
      </w:pPr>
    </w:p>
    <w:p w:rsidR="00F33C01" w:rsidRPr="00A131AE" w:rsidRDefault="00F33C01" w:rsidP="003554D4">
      <w:pPr>
        <w:pStyle w:val="a8"/>
        <w:rPr>
          <w:highlight w:val="yellow"/>
        </w:rPr>
      </w:pPr>
    </w:p>
    <w:p w:rsidR="00F83FE4" w:rsidRPr="00D3458A" w:rsidRDefault="009E738C" w:rsidP="003554D4">
      <w:pPr>
        <w:pStyle w:val="1"/>
        <w:jc w:val="left"/>
      </w:pPr>
      <w:bookmarkStart w:id="67" w:name="_Toc488058557"/>
      <w:bookmarkStart w:id="68" w:name="_Toc15546018"/>
      <w:r w:rsidRPr="00D3458A">
        <w:rPr>
          <w:lang w:val="el-GR"/>
        </w:rPr>
        <w:t>25</w:t>
      </w:r>
      <w:r w:rsidR="00FF2F42" w:rsidRPr="00D3458A">
        <w:t>. Χ</w:t>
      </w:r>
      <w:r w:rsidR="00F83FE4" w:rsidRPr="00D3458A">
        <w:t>ρήση της επιλογής της παραγράφου 7 ή της παραγράφου 8 του άρθρου 16 του νόμου</w:t>
      </w:r>
      <w:bookmarkEnd w:id="67"/>
      <w:bookmarkEnd w:id="68"/>
    </w:p>
    <w:p w:rsidR="00064B23" w:rsidRPr="00D3458A" w:rsidRDefault="00064B23" w:rsidP="003554D4">
      <w:pPr>
        <w:rPr>
          <w:sz w:val="16"/>
          <w:szCs w:val="16"/>
          <w:lang w:eastAsia="en-US"/>
        </w:rPr>
      </w:pPr>
    </w:p>
    <w:p w:rsidR="00A0392A" w:rsidRPr="00D3458A" w:rsidRDefault="00A0392A" w:rsidP="003554D4">
      <w:pPr>
        <w:shd w:val="clear" w:color="auto" w:fill="FFFFFF"/>
        <w:spacing w:after="200"/>
        <w:ind w:left="5" w:right="14" w:firstLine="562"/>
        <w:jc w:val="both"/>
        <w:rPr>
          <w:sz w:val="22"/>
          <w:szCs w:val="22"/>
        </w:rPr>
      </w:pPr>
      <w:r w:rsidRPr="00D3458A">
        <w:rPr>
          <w:sz w:val="22"/>
          <w:szCs w:val="22"/>
        </w:rPr>
        <w:t>Η Ε</w:t>
      </w:r>
      <w:r w:rsidR="00FF2F42" w:rsidRPr="00D3458A">
        <w:rPr>
          <w:sz w:val="22"/>
          <w:szCs w:val="22"/>
        </w:rPr>
        <w:t>ταιρεία ανήκει στην κατη</w:t>
      </w:r>
      <w:r w:rsidR="001832CD" w:rsidRPr="00D3458A">
        <w:rPr>
          <w:sz w:val="22"/>
          <w:szCs w:val="22"/>
        </w:rPr>
        <w:t>γορία των πολύ μικρών οντοτήτων, ωστόσο δεν</w:t>
      </w:r>
      <w:r w:rsidR="00FF2F42" w:rsidRPr="00D3458A">
        <w:rPr>
          <w:sz w:val="22"/>
          <w:szCs w:val="22"/>
        </w:rPr>
        <w:t xml:space="preserve"> επ</w:t>
      </w:r>
      <w:r w:rsidRPr="00D3458A">
        <w:rPr>
          <w:sz w:val="22"/>
          <w:szCs w:val="22"/>
        </w:rPr>
        <w:t>έλεξε να καταρτίσει συνοπτικό ισολογισμό και συνοπτική κατάσταση αποτελεσμάτων.</w:t>
      </w:r>
    </w:p>
    <w:p w:rsidR="003506D2" w:rsidRPr="00D3458A" w:rsidRDefault="003506D2" w:rsidP="003554D4">
      <w:pPr>
        <w:shd w:val="clear" w:color="auto" w:fill="FFFFFF"/>
        <w:spacing w:after="200"/>
        <w:ind w:left="5" w:right="14" w:firstLine="562"/>
        <w:jc w:val="both"/>
        <w:rPr>
          <w:sz w:val="22"/>
          <w:szCs w:val="22"/>
        </w:rPr>
      </w:pPr>
    </w:p>
    <w:p w:rsidR="001F2B44" w:rsidRPr="00D3458A" w:rsidRDefault="009E738C" w:rsidP="003554D4">
      <w:pPr>
        <w:pStyle w:val="1"/>
        <w:jc w:val="left"/>
      </w:pPr>
      <w:bookmarkStart w:id="69" w:name="_Toc488058558"/>
      <w:bookmarkStart w:id="70" w:name="_Toc15546019"/>
      <w:r w:rsidRPr="00D3458A">
        <w:rPr>
          <w:lang w:val="el-GR"/>
        </w:rPr>
        <w:t>26</w:t>
      </w:r>
      <w:r w:rsidR="001F2B44" w:rsidRPr="00D3458A">
        <w:t>. Διακανονισμοί (συμφωνίες) που δεν εμφανίζονται στον ισολογισμό με σημαντικές θετικές ή αρνητικές επιπτώσεις επί της εταιρείας</w:t>
      </w:r>
      <w:bookmarkEnd w:id="69"/>
      <w:bookmarkEnd w:id="70"/>
    </w:p>
    <w:p w:rsidR="00064B23" w:rsidRPr="00D3458A" w:rsidRDefault="00064B23" w:rsidP="003554D4">
      <w:pPr>
        <w:rPr>
          <w:sz w:val="16"/>
          <w:szCs w:val="16"/>
          <w:lang w:eastAsia="en-US"/>
        </w:rPr>
      </w:pPr>
    </w:p>
    <w:p w:rsidR="001F2B44" w:rsidRPr="00D3458A" w:rsidRDefault="001F2B44" w:rsidP="003554D4">
      <w:pPr>
        <w:shd w:val="clear" w:color="auto" w:fill="FFFFFF"/>
        <w:spacing w:after="200"/>
        <w:ind w:left="5" w:right="14" w:firstLine="562"/>
        <w:jc w:val="both"/>
        <w:rPr>
          <w:sz w:val="22"/>
          <w:szCs w:val="22"/>
        </w:rPr>
      </w:pPr>
      <w:r w:rsidRPr="00D3458A">
        <w:rPr>
          <w:sz w:val="22"/>
          <w:szCs w:val="22"/>
        </w:rPr>
        <w:t xml:space="preserve">Δεν υφίστανται τέτοιοι διακανονισμοί. </w:t>
      </w:r>
    </w:p>
    <w:p w:rsidR="003506D2" w:rsidRPr="00A131AE" w:rsidRDefault="003506D2" w:rsidP="003554D4">
      <w:pPr>
        <w:shd w:val="clear" w:color="auto" w:fill="FFFFFF"/>
        <w:spacing w:after="200"/>
        <w:ind w:left="5" w:right="14" w:firstLine="562"/>
        <w:jc w:val="both"/>
        <w:rPr>
          <w:sz w:val="22"/>
          <w:szCs w:val="22"/>
          <w:highlight w:val="yellow"/>
        </w:rPr>
      </w:pPr>
    </w:p>
    <w:p w:rsidR="001F2B44" w:rsidRPr="00D3458A" w:rsidRDefault="009E738C" w:rsidP="003554D4">
      <w:pPr>
        <w:pStyle w:val="1"/>
        <w:jc w:val="left"/>
      </w:pPr>
      <w:bookmarkStart w:id="71" w:name="_Toc488058559"/>
      <w:bookmarkStart w:id="72" w:name="_Toc15546020"/>
      <w:r w:rsidRPr="00D3458A">
        <w:rPr>
          <w:lang w:val="el-GR"/>
        </w:rPr>
        <w:t>27</w:t>
      </w:r>
      <w:r w:rsidR="001F2B44" w:rsidRPr="00D3458A">
        <w:t>. Χρηματοοικονομικές δεσμεύσεις, εγγυήσεις, και ενδεχόμενες υποχρεώσεις που δεν εμφανίζονται στον ισολογισμό</w:t>
      </w:r>
      <w:bookmarkEnd w:id="71"/>
      <w:bookmarkEnd w:id="72"/>
    </w:p>
    <w:p w:rsidR="00064B23" w:rsidRPr="00D3458A" w:rsidRDefault="00064B23" w:rsidP="003554D4">
      <w:pPr>
        <w:rPr>
          <w:sz w:val="16"/>
          <w:szCs w:val="16"/>
          <w:lang w:eastAsia="en-US"/>
        </w:rPr>
      </w:pPr>
    </w:p>
    <w:p w:rsidR="001F2B44" w:rsidRPr="00D3458A" w:rsidRDefault="001F2B44" w:rsidP="003554D4">
      <w:pPr>
        <w:shd w:val="clear" w:color="auto" w:fill="FFFFFF"/>
        <w:spacing w:after="200"/>
        <w:ind w:left="5" w:right="14" w:firstLine="562"/>
        <w:jc w:val="both"/>
        <w:rPr>
          <w:b/>
          <w:sz w:val="22"/>
          <w:szCs w:val="22"/>
        </w:rPr>
      </w:pPr>
      <w:r w:rsidRPr="00D3458A">
        <w:rPr>
          <w:b/>
          <w:sz w:val="22"/>
          <w:szCs w:val="22"/>
        </w:rPr>
        <w:t>α) Χρηματοοικονομικές δεσμεύσεις</w:t>
      </w:r>
    </w:p>
    <w:p w:rsidR="001F2B44" w:rsidRPr="00D3458A" w:rsidRDefault="001F2B44" w:rsidP="003554D4">
      <w:pPr>
        <w:shd w:val="clear" w:color="auto" w:fill="FFFFFF"/>
        <w:spacing w:after="200"/>
        <w:ind w:left="5" w:right="14" w:firstLine="562"/>
        <w:jc w:val="both"/>
        <w:rPr>
          <w:sz w:val="22"/>
          <w:szCs w:val="22"/>
        </w:rPr>
      </w:pPr>
      <w:r w:rsidRPr="00D3458A">
        <w:rPr>
          <w:sz w:val="22"/>
          <w:szCs w:val="22"/>
        </w:rPr>
        <w:t>Η Εταιρεία</w:t>
      </w:r>
      <w:r w:rsidR="00EA51F2" w:rsidRPr="00D3458A">
        <w:rPr>
          <w:sz w:val="22"/>
          <w:szCs w:val="22"/>
        </w:rPr>
        <w:t xml:space="preserve"> δεν</w:t>
      </w:r>
      <w:r w:rsidRPr="00D3458A">
        <w:rPr>
          <w:sz w:val="22"/>
          <w:szCs w:val="22"/>
        </w:rPr>
        <w:t xml:space="preserve"> έχει συνάψει μη ακυρώσιμες συμβάσεις λειτουργικών μισθώσεων </w:t>
      </w:r>
      <w:r w:rsidR="00B21CDE" w:rsidRPr="00D3458A">
        <w:rPr>
          <w:sz w:val="22"/>
          <w:szCs w:val="22"/>
        </w:rPr>
        <w:t>διάρκειας μεγαλύτερης του ενός έτους</w:t>
      </w:r>
      <w:r w:rsidRPr="00D3458A">
        <w:rPr>
          <w:sz w:val="22"/>
          <w:szCs w:val="22"/>
        </w:rPr>
        <w:t xml:space="preserve">. </w:t>
      </w:r>
    </w:p>
    <w:p w:rsidR="001F2B44" w:rsidRPr="00D3458A" w:rsidRDefault="001F2B44" w:rsidP="00B82D0D">
      <w:pPr>
        <w:shd w:val="clear" w:color="auto" w:fill="FFFFFF"/>
        <w:spacing w:after="200" w:line="276" w:lineRule="auto"/>
        <w:ind w:left="5" w:right="14" w:firstLine="562"/>
        <w:jc w:val="both"/>
        <w:rPr>
          <w:b/>
          <w:sz w:val="22"/>
          <w:szCs w:val="22"/>
        </w:rPr>
      </w:pPr>
      <w:r w:rsidRPr="00D3458A">
        <w:rPr>
          <w:b/>
          <w:sz w:val="22"/>
          <w:szCs w:val="22"/>
        </w:rPr>
        <w:t xml:space="preserve">β) Εγγυήσεις </w:t>
      </w:r>
    </w:p>
    <w:p w:rsidR="001F2B44" w:rsidRPr="00A131AE" w:rsidRDefault="001F2B44" w:rsidP="00BA57FE">
      <w:pPr>
        <w:shd w:val="clear" w:color="auto" w:fill="FFFFFF"/>
        <w:spacing w:after="200" w:line="276" w:lineRule="auto"/>
        <w:ind w:left="5" w:right="14" w:firstLine="562"/>
        <w:jc w:val="both"/>
        <w:rPr>
          <w:highlight w:val="yellow"/>
        </w:rPr>
      </w:pPr>
      <w:r w:rsidRPr="00D3458A">
        <w:rPr>
          <w:sz w:val="22"/>
          <w:szCs w:val="22"/>
        </w:rPr>
        <w:t xml:space="preserve">Η Εταιρεία </w:t>
      </w:r>
      <w:r w:rsidR="00BA57FE">
        <w:rPr>
          <w:sz w:val="22"/>
          <w:szCs w:val="22"/>
        </w:rPr>
        <w:t xml:space="preserve">δεν </w:t>
      </w:r>
      <w:r w:rsidRPr="00D3458A">
        <w:rPr>
          <w:sz w:val="22"/>
          <w:szCs w:val="22"/>
        </w:rPr>
        <w:t>έχει χορηγήσει εγγυητικές επιστολές</w:t>
      </w:r>
      <w:r w:rsidR="00BA57FE">
        <w:rPr>
          <w:sz w:val="22"/>
          <w:szCs w:val="22"/>
        </w:rPr>
        <w:t>.</w:t>
      </w:r>
    </w:p>
    <w:p w:rsidR="001F2B44" w:rsidRPr="00BF22ED" w:rsidRDefault="001F2B44" w:rsidP="00B82D0D">
      <w:pPr>
        <w:shd w:val="clear" w:color="auto" w:fill="FFFFFF"/>
        <w:spacing w:after="200" w:line="276" w:lineRule="auto"/>
        <w:ind w:left="5" w:right="14" w:firstLine="562"/>
        <w:jc w:val="both"/>
        <w:rPr>
          <w:b/>
          <w:sz w:val="22"/>
          <w:szCs w:val="22"/>
        </w:rPr>
      </w:pPr>
      <w:r w:rsidRPr="00BF22ED">
        <w:rPr>
          <w:b/>
          <w:sz w:val="22"/>
          <w:szCs w:val="22"/>
        </w:rPr>
        <w:t xml:space="preserve">γ) Ενδεχόμενες υποχρεώσεις </w:t>
      </w:r>
    </w:p>
    <w:p w:rsidR="00190591" w:rsidRPr="00BF22ED" w:rsidRDefault="00E71A9C" w:rsidP="00190591">
      <w:pPr>
        <w:shd w:val="clear" w:color="auto" w:fill="FFFFFF"/>
        <w:spacing w:after="200" w:line="276" w:lineRule="auto"/>
        <w:ind w:left="5" w:right="14" w:firstLine="562"/>
        <w:jc w:val="both"/>
        <w:rPr>
          <w:sz w:val="22"/>
          <w:szCs w:val="22"/>
        </w:rPr>
      </w:pPr>
      <w:r w:rsidRPr="00E71A9C">
        <w:rPr>
          <w:sz w:val="22"/>
          <w:szCs w:val="22"/>
        </w:rPr>
        <w:t>Οι φορολογικές υποχρεώσεις της εταιρείας δεν έχουν εξεταστεί από τις φορολο</w:t>
      </w:r>
      <w:r w:rsidR="00546F3F">
        <w:rPr>
          <w:sz w:val="22"/>
          <w:szCs w:val="22"/>
        </w:rPr>
        <w:t>γικές αρχές για τις χρήσεις 2015</w:t>
      </w:r>
      <w:r w:rsidR="0080504F">
        <w:rPr>
          <w:sz w:val="22"/>
          <w:szCs w:val="22"/>
        </w:rPr>
        <w:t xml:space="preserve"> έως και 2021</w:t>
      </w:r>
      <w:r w:rsidRPr="00E71A9C">
        <w:rPr>
          <w:sz w:val="22"/>
          <w:szCs w:val="22"/>
        </w:rPr>
        <w:t xml:space="preserve">. Ως εκ τούτου τα φορολογικά αποτελέσματα των χρήσεων αυτών δεν έχουν </w:t>
      </w:r>
      <w:r w:rsidRPr="00E71A9C">
        <w:rPr>
          <w:sz w:val="22"/>
          <w:szCs w:val="22"/>
        </w:rPr>
        <w:lastRenderedPageBreak/>
        <w:t>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w:t>
      </w:r>
    </w:p>
    <w:p w:rsidR="00190591" w:rsidRPr="00A131AE" w:rsidRDefault="00190591" w:rsidP="00603769">
      <w:pPr>
        <w:shd w:val="clear" w:color="auto" w:fill="FFFFFF"/>
        <w:spacing w:after="200" w:line="276" w:lineRule="auto"/>
        <w:ind w:left="5" w:right="14" w:firstLine="562"/>
        <w:jc w:val="both"/>
        <w:rPr>
          <w:sz w:val="22"/>
          <w:szCs w:val="22"/>
          <w:highlight w:val="yellow"/>
        </w:rPr>
      </w:pPr>
    </w:p>
    <w:p w:rsidR="005849EE" w:rsidRPr="00D3458A" w:rsidRDefault="009E738C" w:rsidP="005849EE">
      <w:pPr>
        <w:pStyle w:val="1"/>
        <w:jc w:val="left"/>
      </w:pPr>
      <w:bookmarkStart w:id="73" w:name="_Toc488058560"/>
      <w:bookmarkStart w:id="74" w:name="_Toc15546021"/>
      <w:r w:rsidRPr="00D3458A">
        <w:rPr>
          <w:lang w:val="el-GR"/>
        </w:rPr>
        <w:t>28</w:t>
      </w:r>
      <w:r w:rsidR="005849EE" w:rsidRPr="00D3458A">
        <w:t>. Γεγονότα μετά την ημερομηνία του ισολογισμού</w:t>
      </w:r>
      <w:bookmarkEnd w:id="73"/>
      <w:bookmarkEnd w:id="74"/>
    </w:p>
    <w:p w:rsidR="005849EE" w:rsidRPr="00D3458A" w:rsidRDefault="005849EE" w:rsidP="005849EE">
      <w:pPr>
        <w:rPr>
          <w:sz w:val="16"/>
          <w:szCs w:val="16"/>
          <w:lang w:eastAsia="en-US"/>
        </w:rPr>
      </w:pPr>
    </w:p>
    <w:p w:rsidR="00D748D1" w:rsidRPr="00D748D1" w:rsidRDefault="00D748D1" w:rsidP="00D748D1">
      <w:pPr>
        <w:shd w:val="clear" w:color="auto" w:fill="FFFFFF"/>
        <w:spacing w:after="200" w:line="276" w:lineRule="auto"/>
        <w:ind w:left="5" w:right="14" w:firstLine="562"/>
        <w:jc w:val="both"/>
        <w:rPr>
          <w:sz w:val="22"/>
          <w:szCs w:val="22"/>
        </w:rPr>
      </w:pPr>
      <w:r w:rsidRPr="00D748D1">
        <w:rPr>
          <w:sz w:val="22"/>
          <w:szCs w:val="22"/>
        </w:rPr>
        <w:t xml:space="preserve">Η Εταιρία μας στα πλαίσια της κοινωνικής ευθύνης και με γνώμονα την άμεση προτεραιότητα μας να διασφαλίσουμε την υγεία </w:t>
      </w:r>
      <w:r>
        <w:rPr>
          <w:sz w:val="22"/>
          <w:szCs w:val="22"/>
        </w:rPr>
        <w:t>τ</w:t>
      </w:r>
      <w:r w:rsidRPr="00D748D1">
        <w:rPr>
          <w:sz w:val="22"/>
          <w:szCs w:val="22"/>
        </w:rPr>
        <w:t xml:space="preserve">ων συνεργατών –πελατών μας και κατ’ επέκταση να συμβάλλουμε στην μείωση της διασποράς του ιού covid-19 συνεχίζει να εφαρμόζει τα μέτρα </w:t>
      </w:r>
      <w:r>
        <w:rPr>
          <w:sz w:val="22"/>
          <w:szCs w:val="22"/>
        </w:rPr>
        <w:t xml:space="preserve">πρόληψης </w:t>
      </w:r>
      <w:r w:rsidRPr="00D748D1">
        <w:rPr>
          <w:sz w:val="22"/>
          <w:szCs w:val="22"/>
        </w:rPr>
        <w:t>που έλαβε στην προηγούμενη χρήση και εφαρμόζοντας οποιαδήποτε οδηγία σχετική με μέτρα πρόληψης που ορίζονται από τις αρμόδιες Υγειονομικές Αρχές.</w:t>
      </w:r>
    </w:p>
    <w:p w:rsidR="00C2626C" w:rsidRPr="00D3458A" w:rsidRDefault="00D748D1" w:rsidP="00D748D1">
      <w:pPr>
        <w:shd w:val="clear" w:color="auto" w:fill="FFFFFF"/>
        <w:spacing w:after="200" w:line="276" w:lineRule="auto"/>
        <w:ind w:left="5" w:right="14" w:firstLine="562"/>
        <w:jc w:val="both"/>
        <w:rPr>
          <w:sz w:val="22"/>
          <w:szCs w:val="22"/>
        </w:rPr>
      </w:pPr>
      <w:r w:rsidRPr="00D748D1">
        <w:rPr>
          <w:sz w:val="22"/>
          <w:szCs w:val="22"/>
        </w:rPr>
        <w:t xml:space="preserve">Σχετικά με την οικονομική επίπτωση λόγω του ιού covid-19, η εταιρία μας δεν θα επηρεαστεί </w:t>
      </w:r>
      <w:r>
        <w:rPr>
          <w:sz w:val="22"/>
          <w:szCs w:val="22"/>
        </w:rPr>
        <w:t>ο τζίρος</w:t>
      </w:r>
      <w:r w:rsidRPr="00D748D1">
        <w:rPr>
          <w:sz w:val="22"/>
          <w:szCs w:val="22"/>
        </w:rPr>
        <w:t xml:space="preserve"> μας καθώς τα οικονομικά στοιχεία της περιόδου </w:t>
      </w:r>
      <w:r>
        <w:rPr>
          <w:sz w:val="22"/>
          <w:szCs w:val="22"/>
        </w:rPr>
        <w:t xml:space="preserve">και η δραστηριότητα μας </w:t>
      </w:r>
      <w:r w:rsidRPr="00D748D1">
        <w:rPr>
          <w:sz w:val="22"/>
          <w:szCs w:val="22"/>
        </w:rPr>
        <w:t xml:space="preserve">μέχρι σήμερα εμφανίζονται </w:t>
      </w:r>
      <w:r>
        <w:rPr>
          <w:sz w:val="22"/>
          <w:szCs w:val="22"/>
        </w:rPr>
        <w:t>περιορισμένη</w:t>
      </w:r>
      <w:r w:rsidRPr="00D748D1">
        <w:rPr>
          <w:sz w:val="22"/>
          <w:szCs w:val="22"/>
        </w:rPr>
        <w:t xml:space="preserve"> παρόλο αυτά εκτιμούμε ότι ως Διοίκηση δεν θα αντιμετωπίσουμε οποιοδήποτε πρόβλημα συνέχισης των εργασιών μας για του επόμενους 18 μήνες. Εκτιμούμε ότι θα διατηρηθεί η </w:t>
      </w:r>
      <w:r>
        <w:rPr>
          <w:sz w:val="22"/>
          <w:szCs w:val="22"/>
        </w:rPr>
        <w:t>λειτουργία μας</w:t>
      </w:r>
      <w:r w:rsidRPr="00D748D1">
        <w:rPr>
          <w:sz w:val="22"/>
          <w:szCs w:val="22"/>
        </w:rPr>
        <w:t xml:space="preserve"> θα παρακολουθούμε το θέμα αυτό σε μηνιαία βάση και αν χρειαστεί θα προβούμε στις απαραίτητες διορθωτικές κινήσεις.</w:t>
      </w:r>
    </w:p>
    <w:p w:rsidR="004A01BC" w:rsidRPr="004B03D1" w:rsidRDefault="001B510C" w:rsidP="001B510C">
      <w:pPr>
        <w:jc w:val="center"/>
        <w:rPr>
          <w:sz w:val="22"/>
          <w:szCs w:val="22"/>
        </w:rPr>
      </w:pPr>
      <w:r w:rsidRPr="007337BD">
        <w:rPr>
          <w:sz w:val="22"/>
          <w:szCs w:val="22"/>
        </w:rPr>
        <w:t xml:space="preserve">Πάτρα, </w:t>
      </w:r>
      <w:r w:rsidR="008C6842" w:rsidRPr="007337BD">
        <w:rPr>
          <w:sz w:val="22"/>
          <w:szCs w:val="22"/>
        </w:rPr>
        <w:t>27</w:t>
      </w:r>
      <w:r w:rsidR="0089735C" w:rsidRPr="007337BD">
        <w:rPr>
          <w:sz w:val="22"/>
          <w:szCs w:val="22"/>
        </w:rPr>
        <w:t xml:space="preserve"> Ιουλίου </w:t>
      </w:r>
      <w:r w:rsidR="007337BD" w:rsidRPr="007337BD">
        <w:rPr>
          <w:sz w:val="22"/>
          <w:szCs w:val="22"/>
        </w:rPr>
        <w:t>2022</w:t>
      </w:r>
    </w:p>
    <w:p w:rsidR="004A01BC" w:rsidRPr="00D3458A" w:rsidRDefault="004A01BC" w:rsidP="004A01BC">
      <w:pPr>
        <w:rPr>
          <w:sz w:val="22"/>
          <w:szCs w:val="22"/>
        </w:rPr>
      </w:pPr>
    </w:p>
    <w:tbl>
      <w:tblPr>
        <w:tblW w:w="0" w:type="auto"/>
        <w:jc w:val="center"/>
        <w:tblLook w:val="01E0" w:firstRow="1" w:lastRow="1" w:firstColumn="1" w:lastColumn="1" w:noHBand="0" w:noVBand="0"/>
      </w:tblPr>
      <w:tblGrid>
        <w:gridCol w:w="3252"/>
        <w:gridCol w:w="3253"/>
        <w:gridCol w:w="3247"/>
      </w:tblGrid>
      <w:tr w:rsidR="00822F62" w:rsidRPr="00A131AE" w:rsidTr="00B32765">
        <w:trPr>
          <w:jc w:val="center"/>
        </w:trPr>
        <w:tc>
          <w:tcPr>
            <w:tcW w:w="3254" w:type="dxa"/>
          </w:tcPr>
          <w:p w:rsidR="00822F62" w:rsidRPr="00D3458A" w:rsidRDefault="00C97D48" w:rsidP="003506D2">
            <w:pPr>
              <w:autoSpaceDE w:val="0"/>
              <w:autoSpaceDN w:val="0"/>
              <w:adjustRightInd w:val="0"/>
              <w:jc w:val="center"/>
              <w:rPr>
                <w:bCs/>
                <w:sz w:val="22"/>
                <w:szCs w:val="22"/>
              </w:rPr>
            </w:pPr>
            <w:r w:rsidRPr="00D3458A">
              <w:rPr>
                <w:bCs/>
                <w:sz w:val="22"/>
                <w:szCs w:val="22"/>
              </w:rPr>
              <w:t xml:space="preserve">Πρόεδρος του Διοικητικού Συμβουλίου και Διευθύνων Σύμβουλος </w:t>
            </w:r>
          </w:p>
        </w:tc>
        <w:tc>
          <w:tcPr>
            <w:tcW w:w="3255" w:type="dxa"/>
          </w:tcPr>
          <w:p w:rsidR="00C97D48" w:rsidRPr="00D3458A" w:rsidRDefault="00C97D48" w:rsidP="00C97D48">
            <w:pPr>
              <w:autoSpaceDE w:val="0"/>
              <w:autoSpaceDN w:val="0"/>
              <w:adjustRightInd w:val="0"/>
              <w:jc w:val="center"/>
              <w:rPr>
                <w:bCs/>
                <w:sz w:val="22"/>
                <w:szCs w:val="22"/>
              </w:rPr>
            </w:pPr>
            <w:r w:rsidRPr="00D3458A">
              <w:rPr>
                <w:bCs/>
                <w:sz w:val="22"/>
                <w:szCs w:val="22"/>
              </w:rPr>
              <w:t xml:space="preserve">Μέλος του </w:t>
            </w:r>
          </w:p>
          <w:p w:rsidR="00822F62" w:rsidRPr="00D3458A" w:rsidRDefault="00C97D48" w:rsidP="00C97D48">
            <w:pPr>
              <w:autoSpaceDE w:val="0"/>
              <w:autoSpaceDN w:val="0"/>
              <w:adjustRightInd w:val="0"/>
              <w:jc w:val="center"/>
              <w:rPr>
                <w:bCs/>
                <w:sz w:val="22"/>
                <w:szCs w:val="22"/>
              </w:rPr>
            </w:pPr>
            <w:r w:rsidRPr="00D3458A">
              <w:rPr>
                <w:bCs/>
                <w:sz w:val="22"/>
                <w:szCs w:val="22"/>
              </w:rPr>
              <w:t xml:space="preserve">Διοικητικού Συμβουλίου </w:t>
            </w:r>
          </w:p>
        </w:tc>
        <w:tc>
          <w:tcPr>
            <w:tcW w:w="3249" w:type="dxa"/>
          </w:tcPr>
          <w:p w:rsidR="00C97D48" w:rsidRPr="00D3458A" w:rsidRDefault="00C97D48" w:rsidP="00C97D48">
            <w:pPr>
              <w:autoSpaceDE w:val="0"/>
              <w:autoSpaceDN w:val="0"/>
              <w:adjustRightInd w:val="0"/>
              <w:jc w:val="center"/>
              <w:rPr>
                <w:bCs/>
                <w:sz w:val="22"/>
                <w:szCs w:val="22"/>
              </w:rPr>
            </w:pPr>
            <w:r w:rsidRPr="00D3458A">
              <w:rPr>
                <w:bCs/>
                <w:sz w:val="22"/>
                <w:szCs w:val="22"/>
              </w:rPr>
              <w:t>Υπεύθυνος του</w:t>
            </w:r>
          </w:p>
          <w:p w:rsidR="00822F62" w:rsidRPr="00D3458A" w:rsidRDefault="00C97D48" w:rsidP="003506D2">
            <w:pPr>
              <w:autoSpaceDE w:val="0"/>
              <w:autoSpaceDN w:val="0"/>
              <w:adjustRightInd w:val="0"/>
              <w:jc w:val="center"/>
              <w:rPr>
                <w:bCs/>
                <w:sz w:val="22"/>
                <w:szCs w:val="22"/>
              </w:rPr>
            </w:pPr>
            <w:r w:rsidRPr="00D3458A">
              <w:rPr>
                <w:bCs/>
                <w:sz w:val="22"/>
                <w:szCs w:val="22"/>
              </w:rPr>
              <w:t xml:space="preserve"> Λογιστηρίου </w:t>
            </w:r>
          </w:p>
        </w:tc>
      </w:tr>
    </w:tbl>
    <w:p w:rsidR="00762095" w:rsidRPr="00A131AE" w:rsidRDefault="00762095" w:rsidP="004A01BC">
      <w:pPr>
        <w:tabs>
          <w:tab w:val="left" w:pos="6893"/>
        </w:tabs>
        <w:rPr>
          <w:sz w:val="22"/>
          <w:szCs w:val="22"/>
          <w:highlight w:val="yellow"/>
        </w:rPr>
      </w:pPr>
    </w:p>
    <w:p w:rsidR="007D5488" w:rsidRPr="00A131AE" w:rsidRDefault="007D5488" w:rsidP="004A01BC">
      <w:pPr>
        <w:tabs>
          <w:tab w:val="left" w:pos="6893"/>
        </w:tabs>
        <w:rPr>
          <w:sz w:val="22"/>
          <w:szCs w:val="22"/>
          <w:highlight w:val="yellow"/>
        </w:rPr>
      </w:pPr>
    </w:p>
    <w:p w:rsidR="00822F62" w:rsidRPr="00A131AE" w:rsidRDefault="00822F62" w:rsidP="004A01BC">
      <w:pPr>
        <w:tabs>
          <w:tab w:val="left" w:pos="6893"/>
        </w:tabs>
        <w:rPr>
          <w:sz w:val="22"/>
          <w:szCs w:val="22"/>
          <w:highlight w:val="yellow"/>
        </w:rPr>
      </w:pPr>
    </w:p>
    <w:tbl>
      <w:tblPr>
        <w:tblW w:w="0" w:type="auto"/>
        <w:jc w:val="center"/>
        <w:tblLook w:val="01E0" w:firstRow="1" w:lastRow="1" w:firstColumn="1" w:lastColumn="1" w:noHBand="0" w:noVBand="0"/>
      </w:tblPr>
      <w:tblGrid>
        <w:gridCol w:w="3252"/>
        <w:gridCol w:w="3253"/>
        <w:gridCol w:w="3247"/>
      </w:tblGrid>
      <w:tr w:rsidR="00822F62" w:rsidRPr="00822F62" w:rsidTr="00B32765">
        <w:trPr>
          <w:jc w:val="center"/>
        </w:trPr>
        <w:tc>
          <w:tcPr>
            <w:tcW w:w="3254" w:type="dxa"/>
          </w:tcPr>
          <w:p w:rsidR="00C97D48" w:rsidRPr="00D3458A" w:rsidRDefault="00D3458A" w:rsidP="00C97D48">
            <w:pPr>
              <w:autoSpaceDE w:val="0"/>
              <w:autoSpaceDN w:val="0"/>
              <w:adjustRightInd w:val="0"/>
              <w:jc w:val="center"/>
              <w:rPr>
                <w:bCs/>
                <w:sz w:val="22"/>
                <w:szCs w:val="22"/>
              </w:rPr>
            </w:pPr>
            <w:r w:rsidRPr="00D3458A">
              <w:rPr>
                <w:bCs/>
                <w:sz w:val="22"/>
                <w:szCs w:val="22"/>
              </w:rPr>
              <w:t>Κωνσταντίνος Γ. Παναγούλιας</w:t>
            </w:r>
          </w:p>
          <w:p w:rsidR="0080146B" w:rsidRPr="00595C7D" w:rsidRDefault="00726470" w:rsidP="00C97D48">
            <w:pPr>
              <w:autoSpaceDE w:val="0"/>
              <w:autoSpaceDN w:val="0"/>
              <w:adjustRightInd w:val="0"/>
              <w:jc w:val="center"/>
              <w:rPr>
                <w:bCs/>
                <w:sz w:val="22"/>
                <w:szCs w:val="22"/>
              </w:rPr>
            </w:pPr>
            <w:r w:rsidRPr="00595C7D">
              <w:rPr>
                <w:bCs/>
                <w:sz w:val="22"/>
                <w:szCs w:val="22"/>
              </w:rPr>
              <w:t>Α.Δ.Τ. Σ 250113</w:t>
            </w:r>
          </w:p>
          <w:p w:rsidR="00822F62" w:rsidRPr="00595C7D" w:rsidRDefault="00822F62" w:rsidP="00B32765">
            <w:pPr>
              <w:autoSpaceDE w:val="0"/>
              <w:autoSpaceDN w:val="0"/>
              <w:adjustRightInd w:val="0"/>
              <w:jc w:val="center"/>
              <w:rPr>
                <w:bCs/>
                <w:sz w:val="22"/>
                <w:szCs w:val="22"/>
              </w:rPr>
            </w:pPr>
          </w:p>
        </w:tc>
        <w:tc>
          <w:tcPr>
            <w:tcW w:w="3255" w:type="dxa"/>
          </w:tcPr>
          <w:p w:rsidR="00822F62" w:rsidRPr="00094E3E" w:rsidRDefault="00D3458A" w:rsidP="00B32765">
            <w:pPr>
              <w:autoSpaceDE w:val="0"/>
              <w:autoSpaceDN w:val="0"/>
              <w:adjustRightInd w:val="0"/>
              <w:jc w:val="center"/>
              <w:rPr>
                <w:bCs/>
                <w:sz w:val="22"/>
                <w:szCs w:val="22"/>
              </w:rPr>
            </w:pPr>
            <w:r w:rsidRPr="00094E3E">
              <w:rPr>
                <w:bCs/>
                <w:sz w:val="22"/>
                <w:szCs w:val="22"/>
              </w:rPr>
              <w:t>Βικτωρία Δ. Τζαμτζή</w:t>
            </w:r>
          </w:p>
          <w:p w:rsidR="0080146B" w:rsidRPr="00094E3E" w:rsidRDefault="0080146B" w:rsidP="00476A81">
            <w:pPr>
              <w:autoSpaceDE w:val="0"/>
              <w:autoSpaceDN w:val="0"/>
              <w:adjustRightInd w:val="0"/>
              <w:jc w:val="center"/>
              <w:rPr>
                <w:bCs/>
                <w:sz w:val="22"/>
                <w:szCs w:val="22"/>
              </w:rPr>
            </w:pPr>
            <w:r w:rsidRPr="00094E3E">
              <w:rPr>
                <w:bCs/>
                <w:sz w:val="22"/>
                <w:szCs w:val="22"/>
              </w:rPr>
              <w:t xml:space="preserve">Α.Δ.T.  </w:t>
            </w:r>
            <w:r w:rsidR="0092751B" w:rsidRPr="00094E3E">
              <w:rPr>
                <w:bCs/>
                <w:sz w:val="22"/>
                <w:szCs w:val="22"/>
              </w:rPr>
              <w:t>Α</w:t>
            </w:r>
            <w:r w:rsidR="00476A81" w:rsidRPr="00094E3E">
              <w:rPr>
                <w:bCs/>
                <w:sz w:val="22"/>
                <w:szCs w:val="22"/>
              </w:rPr>
              <w:t>Ε</w:t>
            </w:r>
            <w:r w:rsidR="0092751B" w:rsidRPr="00094E3E">
              <w:rPr>
                <w:bCs/>
                <w:sz w:val="22"/>
                <w:szCs w:val="22"/>
              </w:rPr>
              <w:t xml:space="preserve"> </w:t>
            </w:r>
            <w:r w:rsidR="00476A81" w:rsidRPr="00094E3E">
              <w:rPr>
                <w:bCs/>
                <w:sz w:val="22"/>
                <w:szCs w:val="22"/>
              </w:rPr>
              <w:t>559008</w:t>
            </w:r>
          </w:p>
        </w:tc>
        <w:tc>
          <w:tcPr>
            <w:tcW w:w="3249" w:type="dxa"/>
          </w:tcPr>
          <w:p w:rsidR="00C97D48" w:rsidRPr="00D3458A" w:rsidRDefault="007A2AE6" w:rsidP="00C97D48">
            <w:pPr>
              <w:autoSpaceDE w:val="0"/>
              <w:autoSpaceDN w:val="0"/>
              <w:adjustRightInd w:val="0"/>
              <w:jc w:val="center"/>
              <w:rPr>
                <w:bCs/>
                <w:sz w:val="22"/>
                <w:szCs w:val="22"/>
              </w:rPr>
            </w:pPr>
            <w:r>
              <w:rPr>
                <w:bCs/>
                <w:sz w:val="22"/>
                <w:szCs w:val="22"/>
              </w:rPr>
              <w:t>Δήμητρα Παναγιωτοπούλου</w:t>
            </w:r>
          </w:p>
          <w:p w:rsidR="00822F62" w:rsidRPr="007D5488" w:rsidRDefault="004A70C7" w:rsidP="00B32765">
            <w:pPr>
              <w:autoSpaceDE w:val="0"/>
              <w:autoSpaceDN w:val="0"/>
              <w:adjustRightInd w:val="0"/>
              <w:jc w:val="center"/>
              <w:rPr>
                <w:bCs/>
                <w:sz w:val="22"/>
                <w:szCs w:val="22"/>
              </w:rPr>
            </w:pPr>
            <w:r w:rsidRPr="00D3458A">
              <w:rPr>
                <w:bCs/>
                <w:sz w:val="22"/>
                <w:szCs w:val="22"/>
              </w:rPr>
              <w:t>Α.Δ.Τ. ΑΑ 313796</w:t>
            </w:r>
          </w:p>
        </w:tc>
      </w:tr>
    </w:tbl>
    <w:p w:rsidR="00822F62" w:rsidRPr="004A01BC" w:rsidRDefault="00822F62" w:rsidP="004A01BC">
      <w:pPr>
        <w:tabs>
          <w:tab w:val="left" w:pos="6893"/>
        </w:tabs>
        <w:rPr>
          <w:sz w:val="22"/>
          <w:szCs w:val="22"/>
        </w:rPr>
      </w:pPr>
    </w:p>
    <w:sectPr w:rsidR="00822F62" w:rsidRPr="004A01BC" w:rsidSect="008737B6">
      <w:headerReference w:type="default" r:id="rId19"/>
      <w:footerReference w:type="even" r:id="rId20"/>
      <w:footerReference w:type="default" r:id="rId21"/>
      <w:pgSz w:w="11906" w:h="16838" w:code="9"/>
      <w:pgMar w:top="1440"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8E" w:rsidRDefault="00996F8E">
      <w:r>
        <w:separator/>
      </w:r>
    </w:p>
  </w:endnote>
  <w:endnote w:type="continuationSeparator" w:id="0">
    <w:p w:rsidR="00996F8E" w:rsidRDefault="0099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3506D2" w:rsidRDefault="00A149AB" w:rsidP="003506D2">
    <w:pPr>
      <w:pStyle w:val="a6"/>
      <w:tabs>
        <w:tab w:val="clear" w:pos="8306"/>
        <w:tab w:val="right" w:pos="9072"/>
      </w:tabs>
      <w:ind w:right="-1"/>
      <w:jc w:val="right"/>
      <w:rPr>
        <w:rFonts w:ascii="Arial" w:hAnsi="Arial" w:cs="Arial"/>
        <w:sz w:val="20"/>
        <w:szCs w:val="20"/>
      </w:rPr>
    </w:pPr>
    <w:r w:rsidRPr="003506D2">
      <w:rPr>
        <w:rFonts w:ascii="Arial" w:hAnsi="Arial" w:cs="Arial"/>
        <w:sz w:val="20"/>
        <w:szCs w:val="20"/>
      </w:rPr>
      <w:fldChar w:fldCharType="begin"/>
    </w:r>
    <w:r w:rsidRPr="003506D2">
      <w:rPr>
        <w:rFonts w:ascii="Arial" w:hAnsi="Arial" w:cs="Arial"/>
        <w:sz w:val="20"/>
        <w:szCs w:val="20"/>
      </w:rPr>
      <w:instrText xml:space="preserve"> PAGE   \* MERGEFORMAT </w:instrText>
    </w:r>
    <w:r w:rsidRPr="003506D2">
      <w:rPr>
        <w:rFonts w:ascii="Arial" w:hAnsi="Arial" w:cs="Arial"/>
        <w:sz w:val="20"/>
        <w:szCs w:val="20"/>
      </w:rPr>
      <w:fldChar w:fldCharType="separate"/>
    </w:r>
    <w:r w:rsidR="00247F2B">
      <w:rPr>
        <w:rFonts w:ascii="Arial" w:hAnsi="Arial" w:cs="Arial"/>
        <w:noProof/>
        <w:sz w:val="20"/>
        <w:szCs w:val="20"/>
      </w:rPr>
      <w:t>3</w:t>
    </w:r>
    <w:r w:rsidRPr="003506D2">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3506D2" w:rsidRDefault="00A149AB" w:rsidP="003506D2">
    <w:pPr>
      <w:pStyle w:val="a6"/>
      <w:tabs>
        <w:tab w:val="clear" w:pos="8306"/>
        <w:tab w:val="right" w:pos="9072"/>
      </w:tabs>
      <w:ind w:right="-1"/>
      <w:jc w:val="right"/>
      <w:rPr>
        <w:rFonts w:ascii="Arial" w:hAnsi="Arial" w:cs="Arial"/>
        <w:sz w:val="20"/>
        <w:szCs w:val="20"/>
      </w:rPr>
    </w:pPr>
    <w:r w:rsidRPr="003506D2">
      <w:rPr>
        <w:rFonts w:ascii="Arial" w:hAnsi="Arial" w:cs="Arial"/>
        <w:sz w:val="20"/>
        <w:szCs w:val="20"/>
      </w:rPr>
      <w:fldChar w:fldCharType="begin"/>
    </w:r>
    <w:r w:rsidRPr="003506D2">
      <w:rPr>
        <w:rFonts w:ascii="Arial" w:hAnsi="Arial" w:cs="Arial"/>
        <w:sz w:val="20"/>
        <w:szCs w:val="20"/>
      </w:rPr>
      <w:instrText xml:space="preserve"> PAGE   \* MERGEFORMAT </w:instrText>
    </w:r>
    <w:r w:rsidRPr="003506D2">
      <w:rPr>
        <w:rFonts w:ascii="Arial" w:hAnsi="Arial" w:cs="Arial"/>
        <w:sz w:val="20"/>
        <w:szCs w:val="20"/>
      </w:rPr>
      <w:fldChar w:fldCharType="separate"/>
    </w:r>
    <w:r w:rsidR="00247F2B">
      <w:rPr>
        <w:rFonts w:ascii="Arial" w:hAnsi="Arial" w:cs="Arial"/>
        <w:noProof/>
        <w:sz w:val="20"/>
        <w:szCs w:val="20"/>
      </w:rPr>
      <w:t>1</w:t>
    </w:r>
    <w:r w:rsidRPr="003506D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661C78" w:rsidRDefault="00A149AB" w:rsidP="00661C78">
    <w:pPr>
      <w:pStyle w:val="a6"/>
      <w:rPr>
        <w:b/>
        <w:i/>
        <w:sz w:val="18"/>
        <w:szCs w:val="18"/>
        <w:lang w:val="el-GR"/>
      </w:rPr>
    </w:pPr>
  </w:p>
  <w:p w:rsidR="00A149AB" w:rsidRPr="00600203" w:rsidRDefault="00A149AB" w:rsidP="00525929">
    <w:pPr>
      <w:pStyle w:val="a6"/>
      <w:pBdr>
        <w:top w:val="single" w:sz="4" w:space="1" w:color="auto"/>
      </w:pBdr>
      <w:rPr>
        <w:b/>
        <w:i/>
        <w:sz w:val="6"/>
        <w:szCs w:val="6"/>
        <w:lang w:val="el-GR"/>
      </w:rPr>
    </w:pPr>
  </w:p>
  <w:p w:rsidR="00A149AB" w:rsidRDefault="00A149AB" w:rsidP="003506D2">
    <w:pPr>
      <w:pStyle w:val="a6"/>
      <w:tabs>
        <w:tab w:val="clear" w:pos="8306"/>
        <w:tab w:val="right" w:pos="9354"/>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2021</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247F2B">
      <w:rPr>
        <w:noProof/>
        <w:sz w:val="20"/>
        <w:lang w:val="el-GR"/>
      </w:rPr>
      <w:t>6</w:t>
    </w:r>
    <w:r>
      <w:rPr>
        <w:sz w:val="20"/>
        <w:lang w:val="el-G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661C78" w:rsidRDefault="00A149AB" w:rsidP="003506D2">
    <w:pPr>
      <w:pStyle w:val="a6"/>
      <w:rPr>
        <w:b/>
        <w:i/>
        <w:sz w:val="18"/>
        <w:szCs w:val="18"/>
        <w:lang w:val="el-GR"/>
      </w:rPr>
    </w:pPr>
  </w:p>
  <w:p w:rsidR="00A149AB" w:rsidRPr="00600203" w:rsidRDefault="00A149AB" w:rsidP="003506D2">
    <w:pPr>
      <w:pStyle w:val="a6"/>
      <w:pBdr>
        <w:top w:val="single" w:sz="4" w:space="1" w:color="auto"/>
      </w:pBdr>
      <w:rPr>
        <w:b/>
        <w:i/>
        <w:sz w:val="6"/>
        <w:szCs w:val="6"/>
        <w:lang w:val="el-GR"/>
      </w:rPr>
    </w:pPr>
  </w:p>
  <w:p w:rsidR="00A149AB" w:rsidRDefault="00A149AB" w:rsidP="003506D2">
    <w:pPr>
      <w:pStyle w:val="a6"/>
      <w:tabs>
        <w:tab w:val="clear" w:pos="8306"/>
        <w:tab w:val="right" w:pos="9354"/>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2021</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247F2B">
      <w:rPr>
        <w:noProof/>
        <w:sz w:val="20"/>
        <w:lang w:val="el-GR"/>
      </w:rPr>
      <w:t>4</w:t>
    </w:r>
    <w:r>
      <w:rPr>
        <w:sz w:val="20"/>
        <w:lang w:val="el-G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661C78" w:rsidRDefault="00A149AB" w:rsidP="003506D2">
    <w:pPr>
      <w:pStyle w:val="a6"/>
      <w:rPr>
        <w:b/>
        <w:i/>
        <w:sz w:val="18"/>
        <w:szCs w:val="18"/>
        <w:lang w:val="el-GR"/>
      </w:rPr>
    </w:pPr>
  </w:p>
  <w:p w:rsidR="00A149AB" w:rsidRPr="00600203" w:rsidRDefault="00A149AB" w:rsidP="003506D2">
    <w:pPr>
      <w:pStyle w:val="a6"/>
      <w:pBdr>
        <w:top w:val="single" w:sz="4" w:space="1" w:color="auto"/>
      </w:pBdr>
      <w:rPr>
        <w:b/>
        <w:i/>
        <w:sz w:val="6"/>
        <w:szCs w:val="6"/>
        <w:lang w:val="el-GR"/>
      </w:rPr>
    </w:pPr>
  </w:p>
  <w:p w:rsidR="00A149AB" w:rsidRDefault="00A149AB" w:rsidP="003506D2">
    <w:pPr>
      <w:pStyle w:val="a6"/>
      <w:tabs>
        <w:tab w:val="clear" w:pos="8306"/>
        <w:tab w:val="right" w:pos="14002"/>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2021</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247F2B">
      <w:rPr>
        <w:noProof/>
        <w:sz w:val="20"/>
        <w:lang w:val="el-GR"/>
      </w:rPr>
      <w:t>7</w:t>
    </w:r>
    <w:r>
      <w:rPr>
        <w:sz w:val="20"/>
        <w:lang w:val="el-G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Default="00A149AB" w:rsidP="00144C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49AB" w:rsidRDefault="00A149AB" w:rsidP="00A41206">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661C78" w:rsidRDefault="00A149AB" w:rsidP="003506D2">
    <w:pPr>
      <w:pStyle w:val="a6"/>
      <w:rPr>
        <w:b/>
        <w:i/>
        <w:sz w:val="18"/>
        <w:szCs w:val="18"/>
        <w:lang w:val="el-GR"/>
      </w:rPr>
    </w:pPr>
  </w:p>
  <w:p w:rsidR="00A149AB" w:rsidRPr="00600203" w:rsidRDefault="00A149AB" w:rsidP="003506D2">
    <w:pPr>
      <w:pStyle w:val="a6"/>
      <w:pBdr>
        <w:top w:val="single" w:sz="4" w:space="1" w:color="auto"/>
      </w:pBdr>
      <w:rPr>
        <w:b/>
        <w:i/>
        <w:sz w:val="6"/>
        <w:szCs w:val="6"/>
        <w:lang w:val="el-GR"/>
      </w:rPr>
    </w:pPr>
  </w:p>
  <w:p w:rsidR="00A149AB" w:rsidRDefault="00A149AB" w:rsidP="003506D2">
    <w:pPr>
      <w:pStyle w:val="a6"/>
      <w:tabs>
        <w:tab w:val="clear" w:pos="8306"/>
        <w:tab w:val="right" w:pos="9752"/>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2021</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247F2B">
      <w:rPr>
        <w:noProof/>
        <w:sz w:val="20"/>
        <w:lang w:val="el-GR"/>
      </w:rPr>
      <w:t>21</w:t>
    </w:r>
    <w:r>
      <w:rPr>
        <w:sz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8E" w:rsidRDefault="00996F8E">
      <w:r>
        <w:separator/>
      </w:r>
    </w:p>
  </w:footnote>
  <w:footnote w:type="continuationSeparator" w:id="0">
    <w:p w:rsidR="00996F8E" w:rsidRDefault="0099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3506D2" w:rsidRDefault="00A149AB" w:rsidP="003506D2">
    <w:pPr>
      <w:pStyle w:val="a5"/>
      <w:rPr>
        <w:rFonts w:ascii="Arial" w:hAnsi="Arial" w:cs="Arial"/>
        <w:sz w:val="22"/>
        <w:szCs w:val="22"/>
      </w:rPr>
    </w:pPr>
    <w:r w:rsidRPr="003506D2">
      <w:rPr>
        <w:rFonts w:ascii="Arial" w:hAnsi="Arial" w:cs="Arial"/>
        <w:noProof/>
        <w:sz w:val="22"/>
        <w:szCs w:val="22"/>
        <w:lang w:val="el-GR" w:eastAsia="el-GR"/>
      </w:rPr>
      <w:drawing>
        <wp:anchor distT="0" distB="0" distL="114300" distR="114300" simplePos="0" relativeHeight="251661312" behindDoc="1" locked="0" layoutInCell="1" allowOverlap="1" wp14:anchorId="567D4DE0" wp14:editId="202161D2">
          <wp:simplePos x="0" y="0"/>
          <wp:positionH relativeFrom="column">
            <wp:posOffset>-15240</wp:posOffset>
          </wp:positionH>
          <wp:positionV relativeFrom="paragraph">
            <wp:posOffset>-60960</wp:posOffset>
          </wp:positionV>
          <wp:extent cx="1939925" cy="428625"/>
          <wp:effectExtent l="0" t="0" r="3175" b="9525"/>
          <wp:wrapNone/>
          <wp:docPr id="4" name="Εικόνα 4"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_CROWE_LOGO_FINAL"/>
                  <pic:cNvPicPr>
                    <a:picLocks noChangeAspect="1" noChangeArrowheads="1"/>
                  </pic:cNvPicPr>
                </pic:nvPicPr>
                <pic:blipFill>
                  <a:blip r:embed="rId1">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p w:rsidR="00A149AB" w:rsidRPr="003506D2" w:rsidRDefault="00A149AB" w:rsidP="003506D2">
    <w:pPr>
      <w:pStyle w:val="a5"/>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Default="00A149A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Default="00A149AB">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Default="00A149AB">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AB" w:rsidRDefault="00A149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65245F0D"/>
    <w:multiLevelType w:val="hybridMultilevel"/>
    <w:tmpl w:val="915AB018"/>
    <w:lvl w:ilvl="0" w:tplc="F8A44914">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45DA0"/>
    <w:multiLevelType w:val="hybridMultilevel"/>
    <w:tmpl w:val="3F0E4A6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15:restartNumberingAfterBreak="0">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6"/>
  </w:num>
  <w:num w:numId="4">
    <w:abstractNumId w:val="5"/>
  </w:num>
  <w:num w:numId="5">
    <w:abstractNumId w:val="2"/>
  </w:num>
  <w:num w:numId="6">
    <w:abstractNumId w:val="8"/>
  </w:num>
  <w:num w:numId="7">
    <w:abstractNumId w:val="4"/>
  </w:num>
  <w:num w:numId="8">
    <w:abstractNumId w:val="9"/>
  </w:num>
  <w:num w:numId="9">
    <w:abstractNumId w:val="0"/>
  </w:num>
  <w:num w:numId="10">
    <w:abstractNumId w:val="3"/>
  </w:num>
  <w:num w:numId="11">
    <w:abstractNumId w:val="1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DF"/>
    <w:rsid w:val="0000266D"/>
    <w:rsid w:val="00004189"/>
    <w:rsid w:val="00004C87"/>
    <w:rsid w:val="00012256"/>
    <w:rsid w:val="00014975"/>
    <w:rsid w:val="00014FBB"/>
    <w:rsid w:val="00016E03"/>
    <w:rsid w:val="00024CC9"/>
    <w:rsid w:val="00030FD9"/>
    <w:rsid w:val="00032C39"/>
    <w:rsid w:val="0003365A"/>
    <w:rsid w:val="00041B4F"/>
    <w:rsid w:val="0004484B"/>
    <w:rsid w:val="00044A8E"/>
    <w:rsid w:val="00045418"/>
    <w:rsid w:val="00045752"/>
    <w:rsid w:val="00047A1E"/>
    <w:rsid w:val="00047EA1"/>
    <w:rsid w:val="000524C4"/>
    <w:rsid w:val="00053AC7"/>
    <w:rsid w:val="000544D9"/>
    <w:rsid w:val="00055A9A"/>
    <w:rsid w:val="00055C78"/>
    <w:rsid w:val="000565DD"/>
    <w:rsid w:val="0006356E"/>
    <w:rsid w:val="00064B23"/>
    <w:rsid w:val="000651AF"/>
    <w:rsid w:val="00070498"/>
    <w:rsid w:val="000709E1"/>
    <w:rsid w:val="00077504"/>
    <w:rsid w:val="000826EE"/>
    <w:rsid w:val="00084671"/>
    <w:rsid w:val="00090814"/>
    <w:rsid w:val="00090D99"/>
    <w:rsid w:val="000935E1"/>
    <w:rsid w:val="00093BB2"/>
    <w:rsid w:val="0009412C"/>
    <w:rsid w:val="00094E3E"/>
    <w:rsid w:val="00097AF3"/>
    <w:rsid w:val="000A192C"/>
    <w:rsid w:val="000A29B3"/>
    <w:rsid w:val="000A42DB"/>
    <w:rsid w:val="000B44BF"/>
    <w:rsid w:val="000B4C84"/>
    <w:rsid w:val="000B5DCE"/>
    <w:rsid w:val="000B6CAD"/>
    <w:rsid w:val="000C1A49"/>
    <w:rsid w:val="000C5897"/>
    <w:rsid w:val="000C6DC6"/>
    <w:rsid w:val="000D2B68"/>
    <w:rsid w:val="000D3A09"/>
    <w:rsid w:val="000D5AA6"/>
    <w:rsid w:val="000D6402"/>
    <w:rsid w:val="000D6471"/>
    <w:rsid w:val="000D6C23"/>
    <w:rsid w:val="000E5FDB"/>
    <w:rsid w:val="000E6BFE"/>
    <w:rsid w:val="000F0B34"/>
    <w:rsid w:val="000F126F"/>
    <w:rsid w:val="000F132F"/>
    <w:rsid w:val="000F13E8"/>
    <w:rsid w:val="000F1D81"/>
    <w:rsid w:val="001006E5"/>
    <w:rsid w:val="00100A33"/>
    <w:rsid w:val="00101AFC"/>
    <w:rsid w:val="001021AD"/>
    <w:rsid w:val="00102B39"/>
    <w:rsid w:val="001038A5"/>
    <w:rsid w:val="001058ED"/>
    <w:rsid w:val="00105FEE"/>
    <w:rsid w:val="001065DA"/>
    <w:rsid w:val="00112117"/>
    <w:rsid w:val="00112A35"/>
    <w:rsid w:val="00112AC7"/>
    <w:rsid w:val="00113D01"/>
    <w:rsid w:val="00113FF0"/>
    <w:rsid w:val="00114CC7"/>
    <w:rsid w:val="00121467"/>
    <w:rsid w:val="001308CF"/>
    <w:rsid w:val="00132823"/>
    <w:rsid w:val="001332AE"/>
    <w:rsid w:val="001418E7"/>
    <w:rsid w:val="00144CB0"/>
    <w:rsid w:val="00144FE1"/>
    <w:rsid w:val="0015634B"/>
    <w:rsid w:val="00156853"/>
    <w:rsid w:val="00156EBE"/>
    <w:rsid w:val="00156F3A"/>
    <w:rsid w:val="0015712B"/>
    <w:rsid w:val="00171C2D"/>
    <w:rsid w:val="00176C4F"/>
    <w:rsid w:val="00180837"/>
    <w:rsid w:val="001832CD"/>
    <w:rsid w:val="00186F43"/>
    <w:rsid w:val="00190591"/>
    <w:rsid w:val="001916D9"/>
    <w:rsid w:val="00193637"/>
    <w:rsid w:val="00194426"/>
    <w:rsid w:val="001961F3"/>
    <w:rsid w:val="00197F1F"/>
    <w:rsid w:val="001A1E85"/>
    <w:rsid w:val="001A260B"/>
    <w:rsid w:val="001B0439"/>
    <w:rsid w:val="001B12BB"/>
    <w:rsid w:val="001B1FB1"/>
    <w:rsid w:val="001B4C86"/>
    <w:rsid w:val="001B510C"/>
    <w:rsid w:val="001B5531"/>
    <w:rsid w:val="001B6037"/>
    <w:rsid w:val="001C371E"/>
    <w:rsid w:val="001C59B5"/>
    <w:rsid w:val="001C7C16"/>
    <w:rsid w:val="001D11B6"/>
    <w:rsid w:val="001D3A9B"/>
    <w:rsid w:val="001D4798"/>
    <w:rsid w:val="001D6B0E"/>
    <w:rsid w:val="001E115A"/>
    <w:rsid w:val="001E179B"/>
    <w:rsid w:val="001E3148"/>
    <w:rsid w:val="001E5129"/>
    <w:rsid w:val="001F1683"/>
    <w:rsid w:val="001F1B9E"/>
    <w:rsid w:val="001F2B44"/>
    <w:rsid w:val="001F4FB0"/>
    <w:rsid w:val="00202BAF"/>
    <w:rsid w:val="00207BAA"/>
    <w:rsid w:val="0021160A"/>
    <w:rsid w:val="00212895"/>
    <w:rsid w:val="00213939"/>
    <w:rsid w:val="00214255"/>
    <w:rsid w:val="00216651"/>
    <w:rsid w:val="002252C0"/>
    <w:rsid w:val="00226B16"/>
    <w:rsid w:val="00232F11"/>
    <w:rsid w:val="00235106"/>
    <w:rsid w:val="00235A1C"/>
    <w:rsid w:val="00237B13"/>
    <w:rsid w:val="002419A0"/>
    <w:rsid w:val="00244101"/>
    <w:rsid w:val="00246FF9"/>
    <w:rsid w:val="00247F2B"/>
    <w:rsid w:val="00250935"/>
    <w:rsid w:val="002526A5"/>
    <w:rsid w:val="00253B1B"/>
    <w:rsid w:val="00255D28"/>
    <w:rsid w:val="00256220"/>
    <w:rsid w:val="00256843"/>
    <w:rsid w:val="00257F20"/>
    <w:rsid w:val="002617E7"/>
    <w:rsid w:val="0026382D"/>
    <w:rsid w:val="00263CCC"/>
    <w:rsid w:val="00264CF4"/>
    <w:rsid w:val="0026516C"/>
    <w:rsid w:val="00265B5C"/>
    <w:rsid w:val="00266E90"/>
    <w:rsid w:val="002741BC"/>
    <w:rsid w:val="00275610"/>
    <w:rsid w:val="002759EB"/>
    <w:rsid w:val="0027631D"/>
    <w:rsid w:val="002869B1"/>
    <w:rsid w:val="00292E8B"/>
    <w:rsid w:val="002931B4"/>
    <w:rsid w:val="002967C2"/>
    <w:rsid w:val="002A35F0"/>
    <w:rsid w:val="002A5A7B"/>
    <w:rsid w:val="002A6E10"/>
    <w:rsid w:val="002B3330"/>
    <w:rsid w:val="002B7BC9"/>
    <w:rsid w:val="002C6135"/>
    <w:rsid w:val="002C7210"/>
    <w:rsid w:val="002D378E"/>
    <w:rsid w:val="002D3A63"/>
    <w:rsid w:val="002E1004"/>
    <w:rsid w:val="002E36E9"/>
    <w:rsid w:val="002E3EFC"/>
    <w:rsid w:val="002E5DD3"/>
    <w:rsid w:val="002F36A2"/>
    <w:rsid w:val="002F642D"/>
    <w:rsid w:val="002F76D1"/>
    <w:rsid w:val="00301740"/>
    <w:rsid w:val="003019C0"/>
    <w:rsid w:val="0030458D"/>
    <w:rsid w:val="0030775F"/>
    <w:rsid w:val="00310CC1"/>
    <w:rsid w:val="00312F23"/>
    <w:rsid w:val="00315D87"/>
    <w:rsid w:val="00317116"/>
    <w:rsid w:val="003204E2"/>
    <w:rsid w:val="00321815"/>
    <w:rsid w:val="00322EB4"/>
    <w:rsid w:val="003231FF"/>
    <w:rsid w:val="00324A6F"/>
    <w:rsid w:val="0033212F"/>
    <w:rsid w:val="00333D32"/>
    <w:rsid w:val="00334F8F"/>
    <w:rsid w:val="00335EF0"/>
    <w:rsid w:val="00342C4A"/>
    <w:rsid w:val="00343832"/>
    <w:rsid w:val="0034590B"/>
    <w:rsid w:val="00345C8B"/>
    <w:rsid w:val="003463DA"/>
    <w:rsid w:val="00350242"/>
    <w:rsid w:val="003506D2"/>
    <w:rsid w:val="0035127F"/>
    <w:rsid w:val="00351801"/>
    <w:rsid w:val="00352B7C"/>
    <w:rsid w:val="003554D4"/>
    <w:rsid w:val="0035629F"/>
    <w:rsid w:val="00356F58"/>
    <w:rsid w:val="0035719E"/>
    <w:rsid w:val="00360BB0"/>
    <w:rsid w:val="00361B4F"/>
    <w:rsid w:val="00363CB6"/>
    <w:rsid w:val="0036738C"/>
    <w:rsid w:val="00367F0E"/>
    <w:rsid w:val="00370435"/>
    <w:rsid w:val="00372E08"/>
    <w:rsid w:val="003765C4"/>
    <w:rsid w:val="00377285"/>
    <w:rsid w:val="00384084"/>
    <w:rsid w:val="00384526"/>
    <w:rsid w:val="00387974"/>
    <w:rsid w:val="003908C1"/>
    <w:rsid w:val="0039175F"/>
    <w:rsid w:val="00391CC4"/>
    <w:rsid w:val="003937A7"/>
    <w:rsid w:val="00393F36"/>
    <w:rsid w:val="00394A9A"/>
    <w:rsid w:val="003A0B7F"/>
    <w:rsid w:val="003A3EB5"/>
    <w:rsid w:val="003A6417"/>
    <w:rsid w:val="003A642F"/>
    <w:rsid w:val="003B0ED9"/>
    <w:rsid w:val="003B38A3"/>
    <w:rsid w:val="003B4110"/>
    <w:rsid w:val="003B577F"/>
    <w:rsid w:val="003B7244"/>
    <w:rsid w:val="003B76F2"/>
    <w:rsid w:val="003B7961"/>
    <w:rsid w:val="003C105D"/>
    <w:rsid w:val="003C1CFA"/>
    <w:rsid w:val="003C1E34"/>
    <w:rsid w:val="003C4B95"/>
    <w:rsid w:val="003C7FD9"/>
    <w:rsid w:val="003D5932"/>
    <w:rsid w:val="003D598E"/>
    <w:rsid w:val="003D79B0"/>
    <w:rsid w:val="003E3F4D"/>
    <w:rsid w:val="003E40A5"/>
    <w:rsid w:val="003E7FD4"/>
    <w:rsid w:val="003F2A7C"/>
    <w:rsid w:val="003F2BDF"/>
    <w:rsid w:val="003F61E9"/>
    <w:rsid w:val="003F7271"/>
    <w:rsid w:val="004005AE"/>
    <w:rsid w:val="00401FF5"/>
    <w:rsid w:val="00402079"/>
    <w:rsid w:val="00402683"/>
    <w:rsid w:val="00402FFA"/>
    <w:rsid w:val="004047B5"/>
    <w:rsid w:val="00412254"/>
    <w:rsid w:val="00414E12"/>
    <w:rsid w:val="00415717"/>
    <w:rsid w:val="004163D0"/>
    <w:rsid w:val="004220D1"/>
    <w:rsid w:val="0042763F"/>
    <w:rsid w:val="00434FDD"/>
    <w:rsid w:val="0043517B"/>
    <w:rsid w:val="00442E06"/>
    <w:rsid w:val="0044417C"/>
    <w:rsid w:val="00445367"/>
    <w:rsid w:val="00451784"/>
    <w:rsid w:val="004557D7"/>
    <w:rsid w:val="00456A85"/>
    <w:rsid w:val="00466266"/>
    <w:rsid w:val="004715E9"/>
    <w:rsid w:val="004730E8"/>
    <w:rsid w:val="0047400F"/>
    <w:rsid w:val="00474BEE"/>
    <w:rsid w:val="004761F9"/>
    <w:rsid w:val="00476A81"/>
    <w:rsid w:val="00476D3C"/>
    <w:rsid w:val="004777D5"/>
    <w:rsid w:val="00483294"/>
    <w:rsid w:val="004834A2"/>
    <w:rsid w:val="004841CE"/>
    <w:rsid w:val="0048530C"/>
    <w:rsid w:val="0048746C"/>
    <w:rsid w:val="0049522E"/>
    <w:rsid w:val="00496B2A"/>
    <w:rsid w:val="00497C41"/>
    <w:rsid w:val="004A01BC"/>
    <w:rsid w:val="004A0D3A"/>
    <w:rsid w:val="004A2266"/>
    <w:rsid w:val="004A34FA"/>
    <w:rsid w:val="004A3D5A"/>
    <w:rsid w:val="004A70C7"/>
    <w:rsid w:val="004A7895"/>
    <w:rsid w:val="004A7DA3"/>
    <w:rsid w:val="004B037F"/>
    <w:rsid w:val="004B03D1"/>
    <w:rsid w:val="004B198A"/>
    <w:rsid w:val="004B22B7"/>
    <w:rsid w:val="004B4DE7"/>
    <w:rsid w:val="004B5E59"/>
    <w:rsid w:val="004B67B5"/>
    <w:rsid w:val="004C48E6"/>
    <w:rsid w:val="004C610A"/>
    <w:rsid w:val="004C64C4"/>
    <w:rsid w:val="004C70CE"/>
    <w:rsid w:val="004D0EE1"/>
    <w:rsid w:val="004D20D6"/>
    <w:rsid w:val="004F1381"/>
    <w:rsid w:val="004F5314"/>
    <w:rsid w:val="004F6CAE"/>
    <w:rsid w:val="005018E8"/>
    <w:rsid w:val="00502001"/>
    <w:rsid w:val="00503C91"/>
    <w:rsid w:val="0050501C"/>
    <w:rsid w:val="005077E1"/>
    <w:rsid w:val="00514888"/>
    <w:rsid w:val="00515793"/>
    <w:rsid w:val="005157F3"/>
    <w:rsid w:val="005162F5"/>
    <w:rsid w:val="0052159C"/>
    <w:rsid w:val="00523C3C"/>
    <w:rsid w:val="00525797"/>
    <w:rsid w:val="00525929"/>
    <w:rsid w:val="00525E7F"/>
    <w:rsid w:val="005262D8"/>
    <w:rsid w:val="00531965"/>
    <w:rsid w:val="005357F1"/>
    <w:rsid w:val="00535A78"/>
    <w:rsid w:val="0053644B"/>
    <w:rsid w:val="00536A1A"/>
    <w:rsid w:val="00537B03"/>
    <w:rsid w:val="00540EA6"/>
    <w:rsid w:val="005416A0"/>
    <w:rsid w:val="00541A30"/>
    <w:rsid w:val="00546F3F"/>
    <w:rsid w:val="005476CB"/>
    <w:rsid w:val="005502C2"/>
    <w:rsid w:val="005525E5"/>
    <w:rsid w:val="00552668"/>
    <w:rsid w:val="005529C7"/>
    <w:rsid w:val="00555B5F"/>
    <w:rsid w:val="00562CCA"/>
    <w:rsid w:val="005649C6"/>
    <w:rsid w:val="0057206B"/>
    <w:rsid w:val="00573BE5"/>
    <w:rsid w:val="00575902"/>
    <w:rsid w:val="005759FC"/>
    <w:rsid w:val="00576847"/>
    <w:rsid w:val="00576ABC"/>
    <w:rsid w:val="005812A6"/>
    <w:rsid w:val="005824A8"/>
    <w:rsid w:val="00582D22"/>
    <w:rsid w:val="005849EE"/>
    <w:rsid w:val="00586019"/>
    <w:rsid w:val="00586333"/>
    <w:rsid w:val="00586D07"/>
    <w:rsid w:val="00587FFA"/>
    <w:rsid w:val="00590295"/>
    <w:rsid w:val="00595C7D"/>
    <w:rsid w:val="005A4028"/>
    <w:rsid w:val="005A6978"/>
    <w:rsid w:val="005A7958"/>
    <w:rsid w:val="005B22A4"/>
    <w:rsid w:val="005B4BF6"/>
    <w:rsid w:val="005B644D"/>
    <w:rsid w:val="005B7D7F"/>
    <w:rsid w:val="005C02EA"/>
    <w:rsid w:val="005C1358"/>
    <w:rsid w:val="005D1490"/>
    <w:rsid w:val="005D16F6"/>
    <w:rsid w:val="005D2609"/>
    <w:rsid w:val="005D3081"/>
    <w:rsid w:val="005E4998"/>
    <w:rsid w:val="005E4C6B"/>
    <w:rsid w:val="005E6853"/>
    <w:rsid w:val="005E6DC2"/>
    <w:rsid w:val="005F0E61"/>
    <w:rsid w:val="005F493E"/>
    <w:rsid w:val="005F4F73"/>
    <w:rsid w:val="00600203"/>
    <w:rsid w:val="00602DDB"/>
    <w:rsid w:val="00603769"/>
    <w:rsid w:val="00605AEE"/>
    <w:rsid w:val="006065B5"/>
    <w:rsid w:val="00606B3E"/>
    <w:rsid w:val="00606EE8"/>
    <w:rsid w:val="00614F01"/>
    <w:rsid w:val="00620C86"/>
    <w:rsid w:val="00621154"/>
    <w:rsid w:val="00622784"/>
    <w:rsid w:val="00635E18"/>
    <w:rsid w:val="00636875"/>
    <w:rsid w:val="00640BF1"/>
    <w:rsid w:val="0064159A"/>
    <w:rsid w:val="00641B8B"/>
    <w:rsid w:val="00642357"/>
    <w:rsid w:val="0064360C"/>
    <w:rsid w:val="0064474A"/>
    <w:rsid w:val="006472CB"/>
    <w:rsid w:val="0064795C"/>
    <w:rsid w:val="00647BE1"/>
    <w:rsid w:val="006553E2"/>
    <w:rsid w:val="00656F26"/>
    <w:rsid w:val="006619F0"/>
    <w:rsid w:val="00661C78"/>
    <w:rsid w:val="00663931"/>
    <w:rsid w:val="006673C6"/>
    <w:rsid w:val="00670839"/>
    <w:rsid w:val="00671919"/>
    <w:rsid w:val="00674D8A"/>
    <w:rsid w:val="0067551A"/>
    <w:rsid w:val="006851FD"/>
    <w:rsid w:val="00685A75"/>
    <w:rsid w:val="006876B2"/>
    <w:rsid w:val="00687B12"/>
    <w:rsid w:val="00691016"/>
    <w:rsid w:val="006949A7"/>
    <w:rsid w:val="00695028"/>
    <w:rsid w:val="00696F4E"/>
    <w:rsid w:val="006A3F94"/>
    <w:rsid w:val="006A4687"/>
    <w:rsid w:val="006A4F5A"/>
    <w:rsid w:val="006A5455"/>
    <w:rsid w:val="006B2268"/>
    <w:rsid w:val="006B245F"/>
    <w:rsid w:val="006B4C56"/>
    <w:rsid w:val="006B570B"/>
    <w:rsid w:val="006C333F"/>
    <w:rsid w:val="006C45D7"/>
    <w:rsid w:val="006C47D8"/>
    <w:rsid w:val="006C7368"/>
    <w:rsid w:val="006D01D4"/>
    <w:rsid w:val="006D0CA0"/>
    <w:rsid w:val="006D1CE9"/>
    <w:rsid w:val="006D4592"/>
    <w:rsid w:val="006D6F7B"/>
    <w:rsid w:val="006D73D4"/>
    <w:rsid w:val="006D7F81"/>
    <w:rsid w:val="006E08FB"/>
    <w:rsid w:val="006E0B83"/>
    <w:rsid w:val="006E3DC2"/>
    <w:rsid w:val="006E4E88"/>
    <w:rsid w:val="006F1862"/>
    <w:rsid w:val="006F24F9"/>
    <w:rsid w:val="006F2EF8"/>
    <w:rsid w:val="00702EB5"/>
    <w:rsid w:val="00704672"/>
    <w:rsid w:val="00711D21"/>
    <w:rsid w:val="00711F5F"/>
    <w:rsid w:val="007135DF"/>
    <w:rsid w:val="00713F0B"/>
    <w:rsid w:val="007159E9"/>
    <w:rsid w:val="0071705B"/>
    <w:rsid w:val="00720570"/>
    <w:rsid w:val="00720849"/>
    <w:rsid w:val="00720892"/>
    <w:rsid w:val="0072137D"/>
    <w:rsid w:val="00722933"/>
    <w:rsid w:val="00726162"/>
    <w:rsid w:val="00726427"/>
    <w:rsid w:val="00726470"/>
    <w:rsid w:val="00727093"/>
    <w:rsid w:val="00730400"/>
    <w:rsid w:val="00730B29"/>
    <w:rsid w:val="00730C1F"/>
    <w:rsid w:val="007323BC"/>
    <w:rsid w:val="00732662"/>
    <w:rsid w:val="007337BD"/>
    <w:rsid w:val="00737439"/>
    <w:rsid w:val="0073773C"/>
    <w:rsid w:val="00743900"/>
    <w:rsid w:val="00743AF3"/>
    <w:rsid w:val="00747BBF"/>
    <w:rsid w:val="0075005E"/>
    <w:rsid w:val="00751123"/>
    <w:rsid w:val="00751887"/>
    <w:rsid w:val="007550D1"/>
    <w:rsid w:val="0075636C"/>
    <w:rsid w:val="00756513"/>
    <w:rsid w:val="00756B9F"/>
    <w:rsid w:val="00757270"/>
    <w:rsid w:val="00760975"/>
    <w:rsid w:val="00762095"/>
    <w:rsid w:val="007625E3"/>
    <w:rsid w:val="00763613"/>
    <w:rsid w:val="00763E26"/>
    <w:rsid w:val="007647C0"/>
    <w:rsid w:val="0077094D"/>
    <w:rsid w:val="00773A64"/>
    <w:rsid w:val="00775F6A"/>
    <w:rsid w:val="00775FB5"/>
    <w:rsid w:val="007762B5"/>
    <w:rsid w:val="00777970"/>
    <w:rsid w:val="007814DB"/>
    <w:rsid w:val="00783881"/>
    <w:rsid w:val="00787E08"/>
    <w:rsid w:val="00791AA2"/>
    <w:rsid w:val="00792AFF"/>
    <w:rsid w:val="00795070"/>
    <w:rsid w:val="007966B3"/>
    <w:rsid w:val="007A008F"/>
    <w:rsid w:val="007A2718"/>
    <w:rsid w:val="007A28F7"/>
    <w:rsid w:val="007A2AE6"/>
    <w:rsid w:val="007A360D"/>
    <w:rsid w:val="007A5CAF"/>
    <w:rsid w:val="007A74F8"/>
    <w:rsid w:val="007B13DF"/>
    <w:rsid w:val="007B25E2"/>
    <w:rsid w:val="007B74B3"/>
    <w:rsid w:val="007C16BC"/>
    <w:rsid w:val="007C4D9D"/>
    <w:rsid w:val="007C6046"/>
    <w:rsid w:val="007C77C4"/>
    <w:rsid w:val="007C7A23"/>
    <w:rsid w:val="007C7C9D"/>
    <w:rsid w:val="007D10CD"/>
    <w:rsid w:val="007D2296"/>
    <w:rsid w:val="007D36F9"/>
    <w:rsid w:val="007D397A"/>
    <w:rsid w:val="007D3ABF"/>
    <w:rsid w:val="007D5488"/>
    <w:rsid w:val="007E3AC2"/>
    <w:rsid w:val="007E5C75"/>
    <w:rsid w:val="007E71A8"/>
    <w:rsid w:val="007F3E14"/>
    <w:rsid w:val="007F562A"/>
    <w:rsid w:val="00800DA0"/>
    <w:rsid w:val="0080146B"/>
    <w:rsid w:val="00801D48"/>
    <w:rsid w:val="00802A05"/>
    <w:rsid w:val="00804C01"/>
    <w:rsid w:val="0080504F"/>
    <w:rsid w:val="0080505C"/>
    <w:rsid w:val="0080629F"/>
    <w:rsid w:val="00806ABC"/>
    <w:rsid w:val="00810E59"/>
    <w:rsid w:val="008115D1"/>
    <w:rsid w:val="00812642"/>
    <w:rsid w:val="008136AA"/>
    <w:rsid w:val="00822F62"/>
    <w:rsid w:val="0082397E"/>
    <w:rsid w:val="00823ECE"/>
    <w:rsid w:val="00833C71"/>
    <w:rsid w:val="00836B3E"/>
    <w:rsid w:val="00845855"/>
    <w:rsid w:val="008477D2"/>
    <w:rsid w:val="008507F9"/>
    <w:rsid w:val="0085115D"/>
    <w:rsid w:val="0085693D"/>
    <w:rsid w:val="0086219D"/>
    <w:rsid w:val="008648A7"/>
    <w:rsid w:val="008651A2"/>
    <w:rsid w:val="008737B6"/>
    <w:rsid w:val="00874993"/>
    <w:rsid w:val="00875156"/>
    <w:rsid w:val="00880694"/>
    <w:rsid w:val="00881285"/>
    <w:rsid w:val="00881E17"/>
    <w:rsid w:val="008827D6"/>
    <w:rsid w:val="00883BD8"/>
    <w:rsid w:val="00887C7B"/>
    <w:rsid w:val="00892F51"/>
    <w:rsid w:val="0089735C"/>
    <w:rsid w:val="008B64BE"/>
    <w:rsid w:val="008B73D9"/>
    <w:rsid w:val="008B76FD"/>
    <w:rsid w:val="008C0F8E"/>
    <w:rsid w:val="008C249A"/>
    <w:rsid w:val="008C4755"/>
    <w:rsid w:val="008C6842"/>
    <w:rsid w:val="008D6254"/>
    <w:rsid w:val="008D6B42"/>
    <w:rsid w:val="008D6B6E"/>
    <w:rsid w:val="008E1379"/>
    <w:rsid w:val="008E159B"/>
    <w:rsid w:val="008E1A74"/>
    <w:rsid w:val="008E204F"/>
    <w:rsid w:val="008F3263"/>
    <w:rsid w:val="008F3A60"/>
    <w:rsid w:val="008F406F"/>
    <w:rsid w:val="008F489A"/>
    <w:rsid w:val="00901471"/>
    <w:rsid w:val="00902440"/>
    <w:rsid w:val="0090275E"/>
    <w:rsid w:val="00902A0B"/>
    <w:rsid w:val="00911F7C"/>
    <w:rsid w:val="009127D3"/>
    <w:rsid w:val="00912F4D"/>
    <w:rsid w:val="00917343"/>
    <w:rsid w:val="009200E3"/>
    <w:rsid w:val="00926B76"/>
    <w:rsid w:val="009272BC"/>
    <w:rsid w:val="0092751B"/>
    <w:rsid w:val="00942BB3"/>
    <w:rsid w:val="009448EF"/>
    <w:rsid w:val="009463DA"/>
    <w:rsid w:val="00947E8B"/>
    <w:rsid w:val="00950F12"/>
    <w:rsid w:val="009532FB"/>
    <w:rsid w:val="009542E4"/>
    <w:rsid w:val="00960E32"/>
    <w:rsid w:val="00960F2E"/>
    <w:rsid w:val="00966DC6"/>
    <w:rsid w:val="00970455"/>
    <w:rsid w:val="00972CCF"/>
    <w:rsid w:val="00974788"/>
    <w:rsid w:val="00976220"/>
    <w:rsid w:val="009766D8"/>
    <w:rsid w:val="00977329"/>
    <w:rsid w:val="009809CE"/>
    <w:rsid w:val="00980A82"/>
    <w:rsid w:val="00980CDC"/>
    <w:rsid w:val="00981035"/>
    <w:rsid w:val="0098634E"/>
    <w:rsid w:val="00987B8F"/>
    <w:rsid w:val="00996F8E"/>
    <w:rsid w:val="009A06C2"/>
    <w:rsid w:val="009A4A4B"/>
    <w:rsid w:val="009A5FD9"/>
    <w:rsid w:val="009A71F1"/>
    <w:rsid w:val="009B115D"/>
    <w:rsid w:val="009B2F72"/>
    <w:rsid w:val="009B37B2"/>
    <w:rsid w:val="009B619A"/>
    <w:rsid w:val="009C3302"/>
    <w:rsid w:val="009C6ABE"/>
    <w:rsid w:val="009C6D6F"/>
    <w:rsid w:val="009D1C0F"/>
    <w:rsid w:val="009D2A5D"/>
    <w:rsid w:val="009D6A6F"/>
    <w:rsid w:val="009E3195"/>
    <w:rsid w:val="009E45E8"/>
    <w:rsid w:val="009E6A0E"/>
    <w:rsid w:val="009E6EB2"/>
    <w:rsid w:val="009E738C"/>
    <w:rsid w:val="009E761E"/>
    <w:rsid w:val="009F1ECA"/>
    <w:rsid w:val="009F265C"/>
    <w:rsid w:val="009F5D51"/>
    <w:rsid w:val="009F6C7A"/>
    <w:rsid w:val="00A032D2"/>
    <w:rsid w:val="00A0392A"/>
    <w:rsid w:val="00A073DB"/>
    <w:rsid w:val="00A12EF0"/>
    <w:rsid w:val="00A131AE"/>
    <w:rsid w:val="00A140FF"/>
    <w:rsid w:val="00A149AB"/>
    <w:rsid w:val="00A1501A"/>
    <w:rsid w:val="00A15DB4"/>
    <w:rsid w:val="00A1694C"/>
    <w:rsid w:val="00A22A65"/>
    <w:rsid w:val="00A2303E"/>
    <w:rsid w:val="00A258EC"/>
    <w:rsid w:val="00A3789E"/>
    <w:rsid w:val="00A41206"/>
    <w:rsid w:val="00A42336"/>
    <w:rsid w:val="00A423AF"/>
    <w:rsid w:val="00A4364F"/>
    <w:rsid w:val="00A447BC"/>
    <w:rsid w:val="00A46847"/>
    <w:rsid w:val="00A52886"/>
    <w:rsid w:val="00A53C64"/>
    <w:rsid w:val="00A56D2D"/>
    <w:rsid w:val="00A575F7"/>
    <w:rsid w:val="00A63052"/>
    <w:rsid w:val="00A63ED0"/>
    <w:rsid w:val="00A64D4E"/>
    <w:rsid w:val="00A67715"/>
    <w:rsid w:val="00A70118"/>
    <w:rsid w:val="00A70963"/>
    <w:rsid w:val="00A7384F"/>
    <w:rsid w:val="00A7452B"/>
    <w:rsid w:val="00A760D1"/>
    <w:rsid w:val="00A77F0D"/>
    <w:rsid w:val="00A82FAC"/>
    <w:rsid w:val="00A84301"/>
    <w:rsid w:val="00A87F09"/>
    <w:rsid w:val="00A90843"/>
    <w:rsid w:val="00AA3025"/>
    <w:rsid w:val="00AA5806"/>
    <w:rsid w:val="00AA777E"/>
    <w:rsid w:val="00AB3CEB"/>
    <w:rsid w:val="00AB6ACF"/>
    <w:rsid w:val="00AB767D"/>
    <w:rsid w:val="00AC200E"/>
    <w:rsid w:val="00AC3611"/>
    <w:rsid w:val="00AC5AFA"/>
    <w:rsid w:val="00AC7B5E"/>
    <w:rsid w:val="00AC7C1D"/>
    <w:rsid w:val="00AD031F"/>
    <w:rsid w:val="00AD14E8"/>
    <w:rsid w:val="00AD347C"/>
    <w:rsid w:val="00AD4562"/>
    <w:rsid w:val="00AD64DF"/>
    <w:rsid w:val="00AF27E6"/>
    <w:rsid w:val="00AF314A"/>
    <w:rsid w:val="00AF70CE"/>
    <w:rsid w:val="00B0095A"/>
    <w:rsid w:val="00B02CCA"/>
    <w:rsid w:val="00B10990"/>
    <w:rsid w:val="00B1422C"/>
    <w:rsid w:val="00B145E1"/>
    <w:rsid w:val="00B149A6"/>
    <w:rsid w:val="00B15719"/>
    <w:rsid w:val="00B17FDA"/>
    <w:rsid w:val="00B21CDE"/>
    <w:rsid w:val="00B229E7"/>
    <w:rsid w:val="00B25EDB"/>
    <w:rsid w:val="00B324AB"/>
    <w:rsid w:val="00B32765"/>
    <w:rsid w:val="00B327AC"/>
    <w:rsid w:val="00B340CE"/>
    <w:rsid w:val="00B3432C"/>
    <w:rsid w:val="00B34338"/>
    <w:rsid w:val="00B34E6E"/>
    <w:rsid w:val="00B3587C"/>
    <w:rsid w:val="00B40088"/>
    <w:rsid w:val="00B45ADA"/>
    <w:rsid w:val="00B45E8E"/>
    <w:rsid w:val="00B45F92"/>
    <w:rsid w:val="00B478CE"/>
    <w:rsid w:val="00B479B9"/>
    <w:rsid w:val="00B516DF"/>
    <w:rsid w:val="00B51FE7"/>
    <w:rsid w:val="00B531B1"/>
    <w:rsid w:val="00B54C5A"/>
    <w:rsid w:val="00B56F15"/>
    <w:rsid w:val="00B60E04"/>
    <w:rsid w:val="00B61B53"/>
    <w:rsid w:val="00B626B8"/>
    <w:rsid w:val="00B65499"/>
    <w:rsid w:val="00B658FE"/>
    <w:rsid w:val="00B735FA"/>
    <w:rsid w:val="00B73794"/>
    <w:rsid w:val="00B73BBB"/>
    <w:rsid w:val="00B75C2B"/>
    <w:rsid w:val="00B82D0D"/>
    <w:rsid w:val="00B84BA5"/>
    <w:rsid w:val="00B97009"/>
    <w:rsid w:val="00BA3252"/>
    <w:rsid w:val="00BA57FE"/>
    <w:rsid w:val="00BB07F2"/>
    <w:rsid w:val="00BB1411"/>
    <w:rsid w:val="00BB1C71"/>
    <w:rsid w:val="00BB1FB5"/>
    <w:rsid w:val="00BB4991"/>
    <w:rsid w:val="00BC09EA"/>
    <w:rsid w:val="00BC1B3F"/>
    <w:rsid w:val="00BC2FF3"/>
    <w:rsid w:val="00BC3D7D"/>
    <w:rsid w:val="00BC5177"/>
    <w:rsid w:val="00BD4409"/>
    <w:rsid w:val="00BE193C"/>
    <w:rsid w:val="00BE1F78"/>
    <w:rsid w:val="00BE214B"/>
    <w:rsid w:val="00BE2324"/>
    <w:rsid w:val="00BE5E90"/>
    <w:rsid w:val="00BF22ED"/>
    <w:rsid w:val="00BF3669"/>
    <w:rsid w:val="00BF51FA"/>
    <w:rsid w:val="00C001B8"/>
    <w:rsid w:val="00C03D02"/>
    <w:rsid w:val="00C04271"/>
    <w:rsid w:val="00C132AD"/>
    <w:rsid w:val="00C15018"/>
    <w:rsid w:val="00C216F8"/>
    <w:rsid w:val="00C2626C"/>
    <w:rsid w:val="00C264F0"/>
    <w:rsid w:val="00C32AB0"/>
    <w:rsid w:val="00C34DED"/>
    <w:rsid w:val="00C36C5C"/>
    <w:rsid w:val="00C40B20"/>
    <w:rsid w:val="00C424C7"/>
    <w:rsid w:val="00C4596E"/>
    <w:rsid w:val="00C45DA9"/>
    <w:rsid w:val="00C50156"/>
    <w:rsid w:val="00C51461"/>
    <w:rsid w:val="00C539BA"/>
    <w:rsid w:val="00C53DB2"/>
    <w:rsid w:val="00C569B8"/>
    <w:rsid w:val="00C60ED3"/>
    <w:rsid w:val="00C62125"/>
    <w:rsid w:val="00C626CB"/>
    <w:rsid w:val="00C632F4"/>
    <w:rsid w:val="00C73817"/>
    <w:rsid w:val="00C74D88"/>
    <w:rsid w:val="00C74E45"/>
    <w:rsid w:val="00C75F51"/>
    <w:rsid w:val="00C761DE"/>
    <w:rsid w:val="00C76513"/>
    <w:rsid w:val="00C81B94"/>
    <w:rsid w:val="00C82386"/>
    <w:rsid w:val="00C82A08"/>
    <w:rsid w:val="00C82EF6"/>
    <w:rsid w:val="00C85F09"/>
    <w:rsid w:val="00C86575"/>
    <w:rsid w:val="00C866DF"/>
    <w:rsid w:val="00C94267"/>
    <w:rsid w:val="00C95C9F"/>
    <w:rsid w:val="00C97A80"/>
    <w:rsid w:val="00C97D48"/>
    <w:rsid w:val="00CA0D37"/>
    <w:rsid w:val="00CA2367"/>
    <w:rsid w:val="00CA307D"/>
    <w:rsid w:val="00CA6146"/>
    <w:rsid w:val="00CA737B"/>
    <w:rsid w:val="00CB1991"/>
    <w:rsid w:val="00CB63C7"/>
    <w:rsid w:val="00CC3B40"/>
    <w:rsid w:val="00CC478F"/>
    <w:rsid w:val="00CC6B96"/>
    <w:rsid w:val="00CC747A"/>
    <w:rsid w:val="00CD4A50"/>
    <w:rsid w:val="00CD58F7"/>
    <w:rsid w:val="00CE03DA"/>
    <w:rsid w:val="00CE3C1E"/>
    <w:rsid w:val="00CE4D55"/>
    <w:rsid w:val="00CF08D6"/>
    <w:rsid w:val="00CF1586"/>
    <w:rsid w:val="00CF57A4"/>
    <w:rsid w:val="00D03E27"/>
    <w:rsid w:val="00D0757D"/>
    <w:rsid w:val="00D10CCA"/>
    <w:rsid w:val="00D2100C"/>
    <w:rsid w:val="00D22245"/>
    <w:rsid w:val="00D26CEE"/>
    <w:rsid w:val="00D2764C"/>
    <w:rsid w:val="00D340A4"/>
    <w:rsid w:val="00D3458A"/>
    <w:rsid w:val="00D3586D"/>
    <w:rsid w:val="00D35D71"/>
    <w:rsid w:val="00D36CDD"/>
    <w:rsid w:val="00D40212"/>
    <w:rsid w:val="00D40E27"/>
    <w:rsid w:val="00D440A4"/>
    <w:rsid w:val="00D45B91"/>
    <w:rsid w:val="00D50140"/>
    <w:rsid w:val="00D55EFC"/>
    <w:rsid w:val="00D61C33"/>
    <w:rsid w:val="00D71343"/>
    <w:rsid w:val="00D72D1D"/>
    <w:rsid w:val="00D7335A"/>
    <w:rsid w:val="00D748D1"/>
    <w:rsid w:val="00D76E8D"/>
    <w:rsid w:val="00D8052E"/>
    <w:rsid w:val="00D8385E"/>
    <w:rsid w:val="00D83F86"/>
    <w:rsid w:val="00D846BF"/>
    <w:rsid w:val="00D84711"/>
    <w:rsid w:val="00D862A9"/>
    <w:rsid w:val="00D867E8"/>
    <w:rsid w:val="00D903FB"/>
    <w:rsid w:val="00DA0BAF"/>
    <w:rsid w:val="00DA29B3"/>
    <w:rsid w:val="00DA31FC"/>
    <w:rsid w:val="00DA7659"/>
    <w:rsid w:val="00DB2916"/>
    <w:rsid w:val="00DB60D5"/>
    <w:rsid w:val="00DB73BE"/>
    <w:rsid w:val="00DC2910"/>
    <w:rsid w:val="00DC73B8"/>
    <w:rsid w:val="00DD015A"/>
    <w:rsid w:val="00DD055A"/>
    <w:rsid w:val="00DE04BB"/>
    <w:rsid w:val="00DE19B3"/>
    <w:rsid w:val="00DE4593"/>
    <w:rsid w:val="00DE7CAE"/>
    <w:rsid w:val="00DF2BB1"/>
    <w:rsid w:val="00DF4DBB"/>
    <w:rsid w:val="00DF4E27"/>
    <w:rsid w:val="00DF5032"/>
    <w:rsid w:val="00DF67BD"/>
    <w:rsid w:val="00DF6E17"/>
    <w:rsid w:val="00E02FD2"/>
    <w:rsid w:val="00E05991"/>
    <w:rsid w:val="00E0633F"/>
    <w:rsid w:val="00E10888"/>
    <w:rsid w:val="00E12DFB"/>
    <w:rsid w:val="00E147F6"/>
    <w:rsid w:val="00E14FFB"/>
    <w:rsid w:val="00E17246"/>
    <w:rsid w:val="00E202E5"/>
    <w:rsid w:val="00E21405"/>
    <w:rsid w:val="00E24828"/>
    <w:rsid w:val="00E26592"/>
    <w:rsid w:val="00E309AA"/>
    <w:rsid w:val="00E37AA2"/>
    <w:rsid w:val="00E42549"/>
    <w:rsid w:val="00E44418"/>
    <w:rsid w:val="00E44C4A"/>
    <w:rsid w:val="00E47EDF"/>
    <w:rsid w:val="00E52633"/>
    <w:rsid w:val="00E564B5"/>
    <w:rsid w:val="00E61FEE"/>
    <w:rsid w:val="00E628B7"/>
    <w:rsid w:val="00E6295C"/>
    <w:rsid w:val="00E65C49"/>
    <w:rsid w:val="00E6601E"/>
    <w:rsid w:val="00E6753D"/>
    <w:rsid w:val="00E71A9C"/>
    <w:rsid w:val="00E75D58"/>
    <w:rsid w:val="00E76EF3"/>
    <w:rsid w:val="00E853EF"/>
    <w:rsid w:val="00E85E69"/>
    <w:rsid w:val="00E86F8A"/>
    <w:rsid w:val="00E87A98"/>
    <w:rsid w:val="00E95FF1"/>
    <w:rsid w:val="00EA17C8"/>
    <w:rsid w:val="00EA3266"/>
    <w:rsid w:val="00EA458D"/>
    <w:rsid w:val="00EA51F2"/>
    <w:rsid w:val="00EA7128"/>
    <w:rsid w:val="00EB1141"/>
    <w:rsid w:val="00EB2101"/>
    <w:rsid w:val="00EB2225"/>
    <w:rsid w:val="00EB264D"/>
    <w:rsid w:val="00EB50A8"/>
    <w:rsid w:val="00EC06F3"/>
    <w:rsid w:val="00EC21EE"/>
    <w:rsid w:val="00EC64FD"/>
    <w:rsid w:val="00EC6C6D"/>
    <w:rsid w:val="00EC6DA0"/>
    <w:rsid w:val="00ED00F5"/>
    <w:rsid w:val="00ED1BD1"/>
    <w:rsid w:val="00ED35A4"/>
    <w:rsid w:val="00ED4669"/>
    <w:rsid w:val="00EE0025"/>
    <w:rsid w:val="00EE0CD5"/>
    <w:rsid w:val="00EE246B"/>
    <w:rsid w:val="00EE5733"/>
    <w:rsid w:val="00EE57E6"/>
    <w:rsid w:val="00EE5C92"/>
    <w:rsid w:val="00EE5D1B"/>
    <w:rsid w:val="00EE63C5"/>
    <w:rsid w:val="00EF0C92"/>
    <w:rsid w:val="00EF28E4"/>
    <w:rsid w:val="00EF6D27"/>
    <w:rsid w:val="00EF756E"/>
    <w:rsid w:val="00F02180"/>
    <w:rsid w:val="00F02822"/>
    <w:rsid w:val="00F0440E"/>
    <w:rsid w:val="00F10FB7"/>
    <w:rsid w:val="00F119AD"/>
    <w:rsid w:val="00F125A1"/>
    <w:rsid w:val="00F139DC"/>
    <w:rsid w:val="00F14887"/>
    <w:rsid w:val="00F14C81"/>
    <w:rsid w:val="00F155F4"/>
    <w:rsid w:val="00F17164"/>
    <w:rsid w:val="00F1745A"/>
    <w:rsid w:val="00F21CC8"/>
    <w:rsid w:val="00F2647B"/>
    <w:rsid w:val="00F2719B"/>
    <w:rsid w:val="00F31B8A"/>
    <w:rsid w:val="00F33C01"/>
    <w:rsid w:val="00F346D8"/>
    <w:rsid w:val="00F358BB"/>
    <w:rsid w:val="00F37434"/>
    <w:rsid w:val="00F443BD"/>
    <w:rsid w:val="00F51647"/>
    <w:rsid w:val="00F51FD6"/>
    <w:rsid w:val="00F534D0"/>
    <w:rsid w:val="00F53D21"/>
    <w:rsid w:val="00F62611"/>
    <w:rsid w:val="00F6444F"/>
    <w:rsid w:val="00F6726D"/>
    <w:rsid w:val="00F67482"/>
    <w:rsid w:val="00F7300E"/>
    <w:rsid w:val="00F74122"/>
    <w:rsid w:val="00F75E42"/>
    <w:rsid w:val="00F77FA8"/>
    <w:rsid w:val="00F808D4"/>
    <w:rsid w:val="00F83F93"/>
    <w:rsid w:val="00F83FE4"/>
    <w:rsid w:val="00F85B59"/>
    <w:rsid w:val="00F86817"/>
    <w:rsid w:val="00F86D93"/>
    <w:rsid w:val="00F87410"/>
    <w:rsid w:val="00F92643"/>
    <w:rsid w:val="00F92EA8"/>
    <w:rsid w:val="00F94265"/>
    <w:rsid w:val="00F96815"/>
    <w:rsid w:val="00F97421"/>
    <w:rsid w:val="00FA04DB"/>
    <w:rsid w:val="00FA0511"/>
    <w:rsid w:val="00FA12C0"/>
    <w:rsid w:val="00FA1548"/>
    <w:rsid w:val="00FA16B6"/>
    <w:rsid w:val="00FA1785"/>
    <w:rsid w:val="00FA2E40"/>
    <w:rsid w:val="00FA4D84"/>
    <w:rsid w:val="00FA7E5C"/>
    <w:rsid w:val="00FB30DF"/>
    <w:rsid w:val="00FB63DB"/>
    <w:rsid w:val="00FC0F5F"/>
    <w:rsid w:val="00FC253D"/>
    <w:rsid w:val="00FC27D7"/>
    <w:rsid w:val="00FC44B4"/>
    <w:rsid w:val="00FC48AF"/>
    <w:rsid w:val="00FC71A3"/>
    <w:rsid w:val="00FC7852"/>
    <w:rsid w:val="00FD3142"/>
    <w:rsid w:val="00FD32FA"/>
    <w:rsid w:val="00FD4D95"/>
    <w:rsid w:val="00FD6307"/>
    <w:rsid w:val="00FD663D"/>
    <w:rsid w:val="00FE30F2"/>
    <w:rsid w:val="00FE4A6E"/>
    <w:rsid w:val="00FE6967"/>
    <w:rsid w:val="00FE7A28"/>
    <w:rsid w:val="00FF1998"/>
    <w:rsid w:val="00FF2F42"/>
    <w:rsid w:val="00FF3764"/>
    <w:rsid w:val="00FF5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27970"/>
  <w15:docId w15:val="{815D40B1-4F2E-4F35-BD3B-4C2657E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B96"/>
    <w:rPr>
      <w:sz w:val="24"/>
      <w:szCs w:val="24"/>
    </w:rPr>
  </w:style>
  <w:style w:type="paragraph" w:styleId="1">
    <w:name w:val="heading 1"/>
    <w:basedOn w:val="a"/>
    <w:next w:val="a"/>
    <w:link w:val="1Char"/>
    <w:qFormat/>
    <w:rsid w:val="00FF2F42"/>
    <w:pPr>
      <w:keepNext/>
      <w:jc w:val="center"/>
      <w:outlineLvl w:val="0"/>
    </w:pPr>
    <w:rPr>
      <w:b/>
      <w:bCs/>
      <w:lang w:val="x-none"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2B3330"/>
    <w:pPr>
      <w:tabs>
        <w:tab w:val="right" w:leader="dot" w:pos="9356"/>
      </w:tabs>
    </w:pPr>
    <w:rPr>
      <w:rFonts w:ascii="Tahoma" w:hAnsi="Tahoma"/>
      <w:sz w:val="20"/>
    </w:rPr>
  </w:style>
  <w:style w:type="table" w:styleId="a3">
    <w:name w:val="Table Grid"/>
    <w:basedOn w:val="a1"/>
    <w:rsid w:val="00DA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qFormat/>
    <w:rsid w:val="002526A5"/>
    <w:pPr>
      <w:tabs>
        <w:tab w:val="center" w:pos="4153"/>
        <w:tab w:val="right" w:pos="8306"/>
      </w:tabs>
    </w:pPr>
    <w:rPr>
      <w:lang w:val="x-none" w:eastAsia="x-none"/>
    </w:rPr>
  </w:style>
  <w:style w:type="paragraph" w:styleId="a6">
    <w:name w:val="footer"/>
    <w:basedOn w:val="a"/>
    <w:link w:val="Char0"/>
    <w:uiPriority w:val="99"/>
    <w:rsid w:val="002526A5"/>
    <w:pPr>
      <w:tabs>
        <w:tab w:val="center" w:pos="4153"/>
        <w:tab w:val="right" w:pos="8306"/>
      </w:tabs>
    </w:pPr>
    <w:rPr>
      <w:lang w:val="x-none" w:eastAsia="x-none"/>
    </w:r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aa">
    <w:name w:val="footnote text"/>
    <w:aliases w:val="Footnote Text Char1,Footnote Text Char2,Footnote Text Char11,Footnote Text Char3,Footnote Text Char4,Footnote Text Char5,Footnote Text Char6,Footnote Text Char12,Footnote Text Char21,Footnote Text Char31,Ch,Char Char Char, Ch"/>
    <w:basedOn w:val="a"/>
    <w:link w:val="Char1"/>
    <w:rsid w:val="00FF2F42"/>
    <w:rPr>
      <w:sz w:val="20"/>
      <w:szCs w:val="20"/>
    </w:rPr>
  </w:style>
  <w:style w:type="character" w:customStyle="1" w:styleId="Char1">
    <w:name w:val="Κείμενο υποσημείωσης Char"/>
    <w:aliases w:val="Footnote Text Char1 Char,Footnote Text Char2 Char,Footnote Text Char11 Char,Footnote Text Char3 Char,Footnote Text Char4 Char,Footnote Text Char5 Char,Footnote Text Char6 Char,Footnote Text Char12 Char,Footnote Text Char21 Char"/>
    <w:basedOn w:val="a0"/>
    <w:link w:val="aa"/>
    <w:rsid w:val="00FF2F42"/>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lang w:val="x-none" w:eastAsia="x-none"/>
    </w:rPr>
  </w:style>
  <w:style w:type="paragraph" w:styleId="ab">
    <w:name w:val="Body Text"/>
    <w:basedOn w:val="a"/>
    <w:link w:val="Char2"/>
    <w:rsid w:val="00FF2F42"/>
    <w:pPr>
      <w:jc w:val="center"/>
    </w:pPr>
    <w:rPr>
      <w:u w:val="single"/>
      <w:lang w:val="x-none" w:eastAsia="en-US"/>
    </w:rPr>
  </w:style>
  <w:style w:type="character" w:customStyle="1" w:styleId="Char2">
    <w:name w:val="Σώμα κειμένου Char"/>
    <w:link w:val="ab"/>
    <w:rsid w:val="00FF2F42"/>
    <w:rPr>
      <w:sz w:val="24"/>
      <w:szCs w:val="24"/>
      <w:u w:val="single"/>
      <w:lang w:eastAsia="en-US"/>
    </w:rPr>
  </w:style>
  <w:style w:type="paragraph" w:styleId="22">
    <w:name w:val="Body Text 2"/>
    <w:basedOn w:val="a"/>
    <w:link w:val="2Char0"/>
    <w:rsid w:val="00FF2F42"/>
    <w:rPr>
      <w:b/>
      <w:bCs/>
      <w:u w:val="single"/>
      <w:lang w:val="x-none" w:eastAsia="en-US"/>
    </w:rPr>
  </w:style>
  <w:style w:type="character" w:customStyle="1" w:styleId="2Char0">
    <w:name w:val="Σώμα κείμενου 2 Char"/>
    <w:link w:val="22"/>
    <w:rsid w:val="00FF2F42"/>
    <w:rPr>
      <w:b/>
      <w:bCs/>
      <w:sz w:val="24"/>
      <w:szCs w:val="24"/>
      <w:u w:val="single"/>
      <w:lang w:eastAsia="en-US"/>
    </w:rPr>
  </w:style>
  <w:style w:type="paragraph" w:styleId="ac">
    <w:name w:val="Body Text Indent"/>
    <w:basedOn w:val="a"/>
    <w:link w:val="Char3"/>
    <w:rsid w:val="00FF2F42"/>
    <w:pPr>
      <w:ind w:left="720" w:hanging="360"/>
      <w:jc w:val="both"/>
    </w:pPr>
    <w:rPr>
      <w:bCs/>
      <w:iCs/>
      <w:lang w:val="x-none" w:eastAsia="en-US"/>
    </w:rPr>
  </w:style>
  <w:style w:type="character" w:customStyle="1" w:styleId="Char3">
    <w:name w:val="Σώμα κείμενου με εσοχή Char"/>
    <w:link w:val="ac"/>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d">
    <w:name w:val="endnote text"/>
    <w:basedOn w:val="a"/>
    <w:link w:val="Char4"/>
    <w:rsid w:val="00FF2F42"/>
    <w:rPr>
      <w:sz w:val="20"/>
      <w:szCs w:val="20"/>
    </w:rPr>
  </w:style>
  <w:style w:type="character" w:customStyle="1" w:styleId="Char4">
    <w:name w:val="Κείμενο σημείωσης τέλους Char"/>
    <w:basedOn w:val="a0"/>
    <w:link w:val="ad"/>
    <w:rsid w:val="00FF2F42"/>
  </w:style>
  <w:style w:type="character" w:styleId="ae">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f">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uiPriority w:val="99"/>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
    <w:name w:val="toc 3"/>
    <w:basedOn w:val="a"/>
    <w:next w:val="a"/>
    <w:autoRedefine/>
    <w:rsid w:val="004A2266"/>
    <w:pPr>
      <w:ind w:left="480"/>
    </w:pPr>
  </w:style>
  <w:style w:type="paragraph" w:styleId="af0">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1">
    <w:name w:val="Subtle Emphasis"/>
    <w:uiPriority w:val="19"/>
    <w:qFormat/>
    <w:rsid w:val="00523C3C"/>
    <w:rPr>
      <w:i/>
      <w:iCs/>
      <w:color w:val="808080"/>
    </w:rPr>
  </w:style>
  <w:style w:type="character" w:styleId="af2">
    <w:name w:val="Emphasis"/>
    <w:qFormat/>
    <w:rsid w:val="00B478CE"/>
    <w:rPr>
      <w:i/>
      <w:iCs/>
    </w:rPr>
  </w:style>
  <w:style w:type="paragraph" w:customStyle="1" w:styleId="BasicParagraph">
    <w:name w:val="[Basic Paragraph]"/>
    <w:basedOn w:val="a"/>
    <w:uiPriority w:val="99"/>
    <w:rsid w:val="00AA777E"/>
    <w:pPr>
      <w:widowControl w:val="0"/>
      <w:autoSpaceDE w:val="0"/>
      <w:autoSpaceDN w:val="0"/>
      <w:adjustRightInd w:val="0"/>
      <w:spacing w:after="120" w:line="288" w:lineRule="auto"/>
      <w:textAlignment w:val="center"/>
    </w:pPr>
    <w:rPr>
      <w:rFonts w:ascii="MinionPro-Regular" w:hAnsi="MinionPro-Regular" w:cs="MinionPro-Regular"/>
      <w:color w:val="000000"/>
      <w:lang w:val="en-US" w:eastAsia="en-US"/>
    </w:rPr>
  </w:style>
  <w:style w:type="paragraph" w:styleId="af3">
    <w:name w:val="List Paragraph"/>
    <w:basedOn w:val="a"/>
    <w:link w:val="Char5"/>
    <w:uiPriority w:val="34"/>
    <w:qFormat/>
    <w:rsid w:val="00AA777E"/>
    <w:pPr>
      <w:spacing w:after="200" w:line="276" w:lineRule="auto"/>
      <w:ind w:left="720"/>
      <w:contextualSpacing/>
    </w:pPr>
    <w:rPr>
      <w:rFonts w:ascii="Calibri" w:eastAsia="Calibri" w:hAnsi="Calibri"/>
      <w:sz w:val="22"/>
      <w:szCs w:val="22"/>
      <w:lang w:eastAsia="en-US"/>
    </w:rPr>
  </w:style>
  <w:style w:type="character" w:customStyle="1" w:styleId="Char5">
    <w:name w:val="Παράγραφος λίστας Char"/>
    <w:link w:val="af3"/>
    <w:uiPriority w:val="34"/>
    <w:locked/>
    <w:rsid w:val="007C7C9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718">
      <w:bodyDiv w:val="1"/>
      <w:marLeft w:val="0"/>
      <w:marRight w:val="0"/>
      <w:marTop w:val="0"/>
      <w:marBottom w:val="0"/>
      <w:divBdr>
        <w:top w:val="none" w:sz="0" w:space="0" w:color="auto"/>
        <w:left w:val="none" w:sz="0" w:space="0" w:color="auto"/>
        <w:bottom w:val="none" w:sz="0" w:space="0" w:color="auto"/>
        <w:right w:val="none" w:sz="0" w:space="0" w:color="auto"/>
      </w:divBdr>
    </w:div>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17394622">
      <w:bodyDiv w:val="1"/>
      <w:marLeft w:val="0"/>
      <w:marRight w:val="0"/>
      <w:marTop w:val="0"/>
      <w:marBottom w:val="0"/>
      <w:divBdr>
        <w:top w:val="none" w:sz="0" w:space="0" w:color="auto"/>
        <w:left w:val="none" w:sz="0" w:space="0" w:color="auto"/>
        <w:bottom w:val="none" w:sz="0" w:space="0" w:color="auto"/>
        <w:right w:val="none" w:sz="0" w:space="0" w:color="auto"/>
      </w:divBdr>
    </w:div>
    <w:div w:id="34937358">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69347520">
      <w:bodyDiv w:val="1"/>
      <w:marLeft w:val="0"/>
      <w:marRight w:val="0"/>
      <w:marTop w:val="0"/>
      <w:marBottom w:val="0"/>
      <w:divBdr>
        <w:top w:val="none" w:sz="0" w:space="0" w:color="auto"/>
        <w:left w:val="none" w:sz="0" w:space="0" w:color="auto"/>
        <w:bottom w:val="none" w:sz="0" w:space="0" w:color="auto"/>
        <w:right w:val="none" w:sz="0" w:space="0" w:color="auto"/>
      </w:divBdr>
    </w:div>
    <w:div w:id="82260574">
      <w:bodyDiv w:val="1"/>
      <w:marLeft w:val="0"/>
      <w:marRight w:val="0"/>
      <w:marTop w:val="0"/>
      <w:marBottom w:val="0"/>
      <w:divBdr>
        <w:top w:val="none" w:sz="0" w:space="0" w:color="auto"/>
        <w:left w:val="none" w:sz="0" w:space="0" w:color="auto"/>
        <w:bottom w:val="none" w:sz="0" w:space="0" w:color="auto"/>
        <w:right w:val="none" w:sz="0" w:space="0" w:color="auto"/>
      </w:divBdr>
    </w:div>
    <w:div w:id="85882900">
      <w:bodyDiv w:val="1"/>
      <w:marLeft w:val="0"/>
      <w:marRight w:val="0"/>
      <w:marTop w:val="0"/>
      <w:marBottom w:val="0"/>
      <w:divBdr>
        <w:top w:val="none" w:sz="0" w:space="0" w:color="auto"/>
        <w:left w:val="none" w:sz="0" w:space="0" w:color="auto"/>
        <w:bottom w:val="none" w:sz="0" w:space="0" w:color="auto"/>
        <w:right w:val="none" w:sz="0" w:space="0" w:color="auto"/>
      </w:divBdr>
    </w:div>
    <w:div w:id="111824710">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147288936">
      <w:bodyDiv w:val="1"/>
      <w:marLeft w:val="0"/>
      <w:marRight w:val="0"/>
      <w:marTop w:val="0"/>
      <w:marBottom w:val="0"/>
      <w:divBdr>
        <w:top w:val="none" w:sz="0" w:space="0" w:color="auto"/>
        <w:left w:val="none" w:sz="0" w:space="0" w:color="auto"/>
        <w:bottom w:val="none" w:sz="0" w:space="0" w:color="auto"/>
        <w:right w:val="none" w:sz="0" w:space="0" w:color="auto"/>
      </w:divBdr>
    </w:div>
    <w:div w:id="167258289">
      <w:bodyDiv w:val="1"/>
      <w:marLeft w:val="0"/>
      <w:marRight w:val="0"/>
      <w:marTop w:val="0"/>
      <w:marBottom w:val="0"/>
      <w:divBdr>
        <w:top w:val="none" w:sz="0" w:space="0" w:color="auto"/>
        <w:left w:val="none" w:sz="0" w:space="0" w:color="auto"/>
        <w:bottom w:val="none" w:sz="0" w:space="0" w:color="auto"/>
        <w:right w:val="none" w:sz="0" w:space="0" w:color="auto"/>
      </w:divBdr>
    </w:div>
    <w:div w:id="189684396">
      <w:bodyDiv w:val="1"/>
      <w:marLeft w:val="0"/>
      <w:marRight w:val="0"/>
      <w:marTop w:val="0"/>
      <w:marBottom w:val="0"/>
      <w:divBdr>
        <w:top w:val="none" w:sz="0" w:space="0" w:color="auto"/>
        <w:left w:val="none" w:sz="0" w:space="0" w:color="auto"/>
        <w:bottom w:val="none" w:sz="0" w:space="0" w:color="auto"/>
        <w:right w:val="none" w:sz="0" w:space="0" w:color="auto"/>
      </w:divBdr>
    </w:div>
    <w:div w:id="200824918">
      <w:bodyDiv w:val="1"/>
      <w:marLeft w:val="0"/>
      <w:marRight w:val="0"/>
      <w:marTop w:val="0"/>
      <w:marBottom w:val="0"/>
      <w:divBdr>
        <w:top w:val="none" w:sz="0" w:space="0" w:color="auto"/>
        <w:left w:val="none" w:sz="0" w:space="0" w:color="auto"/>
        <w:bottom w:val="none" w:sz="0" w:space="0" w:color="auto"/>
        <w:right w:val="none" w:sz="0" w:space="0" w:color="auto"/>
      </w:divBdr>
    </w:div>
    <w:div w:id="253322533">
      <w:bodyDiv w:val="1"/>
      <w:marLeft w:val="0"/>
      <w:marRight w:val="0"/>
      <w:marTop w:val="0"/>
      <w:marBottom w:val="0"/>
      <w:divBdr>
        <w:top w:val="none" w:sz="0" w:space="0" w:color="auto"/>
        <w:left w:val="none" w:sz="0" w:space="0" w:color="auto"/>
        <w:bottom w:val="none" w:sz="0" w:space="0" w:color="auto"/>
        <w:right w:val="none" w:sz="0" w:space="0" w:color="auto"/>
      </w:divBdr>
    </w:div>
    <w:div w:id="260727451">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278724886">
      <w:bodyDiv w:val="1"/>
      <w:marLeft w:val="0"/>
      <w:marRight w:val="0"/>
      <w:marTop w:val="0"/>
      <w:marBottom w:val="0"/>
      <w:divBdr>
        <w:top w:val="none" w:sz="0" w:space="0" w:color="auto"/>
        <w:left w:val="none" w:sz="0" w:space="0" w:color="auto"/>
        <w:bottom w:val="none" w:sz="0" w:space="0" w:color="auto"/>
        <w:right w:val="none" w:sz="0" w:space="0" w:color="auto"/>
      </w:divBdr>
    </w:div>
    <w:div w:id="346058188">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70689228">
      <w:bodyDiv w:val="1"/>
      <w:marLeft w:val="0"/>
      <w:marRight w:val="0"/>
      <w:marTop w:val="0"/>
      <w:marBottom w:val="0"/>
      <w:divBdr>
        <w:top w:val="none" w:sz="0" w:space="0" w:color="auto"/>
        <w:left w:val="none" w:sz="0" w:space="0" w:color="auto"/>
        <w:bottom w:val="none" w:sz="0" w:space="0" w:color="auto"/>
        <w:right w:val="none" w:sz="0" w:space="0" w:color="auto"/>
      </w:divBdr>
    </w:div>
    <w:div w:id="371541868">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439225703">
      <w:bodyDiv w:val="1"/>
      <w:marLeft w:val="0"/>
      <w:marRight w:val="0"/>
      <w:marTop w:val="0"/>
      <w:marBottom w:val="0"/>
      <w:divBdr>
        <w:top w:val="none" w:sz="0" w:space="0" w:color="auto"/>
        <w:left w:val="none" w:sz="0" w:space="0" w:color="auto"/>
        <w:bottom w:val="none" w:sz="0" w:space="0" w:color="auto"/>
        <w:right w:val="none" w:sz="0" w:space="0" w:color="auto"/>
      </w:divBdr>
    </w:div>
    <w:div w:id="452332444">
      <w:bodyDiv w:val="1"/>
      <w:marLeft w:val="0"/>
      <w:marRight w:val="0"/>
      <w:marTop w:val="0"/>
      <w:marBottom w:val="0"/>
      <w:divBdr>
        <w:top w:val="none" w:sz="0" w:space="0" w:color="auto"/>
        <w:left w:val="none" w:sz="0" w:space="0" w:color="auto"/>
        <w:bottom w:val="none" w:sz="0" w:space="0" w:color="auto"/>
        <w:right w:val="none" w:sz="0" w:space="0" w:color="auto"/>
      </w:divBdr>
    </w:div>
    <w:div w:id="460004792">
      <w:bodyDiv w:val="1"/>
      <w:marLeft w:val="0"/>
      <w:marRight w:val="0"/>
      <w:marTop w:val="0"/>
      <w:marBottom w:val="0"/>
      <w:divBdr>
        <w:top w:val="none" w:sz="0" w:space="0" w:color="auto"/>
        <w:left w:val="none" w:sz="0" w:space="0" w:color="auto"/>
        <w:bottom w:val="none" w:sz="0" w:space="0" w:color="auto"/>
        <w:right w:val="none" w:sz="0" w:space="0" w:color="auto"/>
      </w:divBdr>
    </w:div>
    <w:div w:id="496503845">
      <w:bodyDiv w:val="1"/>
      <w:marLeft w:val="0"/>
      <w:marRight w:val="0"/>
      <w:marTop w:val="0"/>
      <w:marBottom w:val="0"/>
      <w:divBdr>
        <w:top w:val="none" w:sz="0" w:space="0" w:color="auto"/>
        <w:left w:val="none" w:sz="0" w:space="0" w:color="auto"/>
        <w:bottom w:val="none" w:sz="0" w:space="0" w:color="auto"/>
        <w:right w:val="none" w:sz="0" w:space="0" w:color="auto"/>
      </w:divBdr>
    </w:div>
    <w:div w:id="525018930">
      <w:bodyDiv w:val="1"/>
      <w:marLeft w:val="0"/>
      <w:marRight w:val="0"/>
      <w:marTop w:val="0"/>
      <w:marBottom w:val="0"/>
      <w:divBdr>
        <w:top w:val="none" w:sz="0" w:space="0" w:color="auto"/>
        <w:left w:val="none" w:sz="0" w:space="0" w:color="auto"/>
        <w:bottom w:val="none" w:sz="0" w:space="0" w:color="auto"/>
        <w:right w:val="none" w:sz="0" w:space="0" w:color="auto"/>
      </w:divBdr>
    </w:div>
    <w:div w:id="541212227">
      <w:bodyDiv w:val="1"/>
      <w:marLeft w:val="0"/>
      <w:marRight w:val="0"/>
      <w:marTop w:val="0"/>
      <w:marBottom w:val="0"/>
      <w:divBdr>
        <w:top w:val="none" w:sz="0" w:space="0" w:color="auto"/>
        <w:left w:val="none" w:sz="0" w:space="0" w:color="auto"/>
        <w:bottom w:val="none" w:sz="0" w:space="0" w:color="auto"/>
        <w:right w:val="none" w:sz="0" w:space="0" w:color="auto"/>
      </w:divBdr>
    </w:div>
    <w:div w:id="560142833">
      <w:bodyDiv w:val="1"/>
      <w:marLeft w:val="0"/>
      <w:marRight w:val="0"/>
      <w:marTop w:val="0"/>
      <w:marBottom w:val="0"/>
      <w:divBdr>
        <w:top w:val="none" w:sz="0" w:space="0" w:color="auto"/>
        <w:left w:val="none" w:sz="0" w:space="0" w:color="auto"/>
        <w:bottom w:val="none" w:sz="0" w:space="0" w:color="auto"/>
        <w:right w:val="none" w:sz="0" w:space="0" w:color="auto"/>
      </w:divBdr>
    </w:div>
    <w:div w:id="562371592">
      <w:bodyDiv w:val="1"/>
      <w:marLeft w:val="0"/>
      <w:marRight w:val="0"/>
      <w:marTop w:val="0"/>
      <w:marBottom w:val="0"/>
      <w:divBdr>
        <w:top w:val="none" w:sz="0" w:space="0" w:color="auto"/>
        <w:left w:val="none" w:sz="0" w:space="0" w:color="auto"/>
        <w:bottom w:val="none" w:sz="0" w:space="0" w:color="auto"/>
        <w:right w:val="none" w:sz="0" w:space="0" w:color="auto"/>
      </w:divBdr>
    </w:div>
    <w:div w:id="579170314">
      <w:bodyDiv w:val="1"/>
      <w:marLeft w:val="0"/>
      <w:marRight w:val="0"/>
      <w:marTop w:val="0"/>
      <w:marBottom w:val="0"/>
      <w:divBdr>
        <w:top w:val="none" w:sz="0" w:space="0" w:color="auto"/>
        <w:left w:val="none" w:sz="0" w:space="0" w:color="auto"/>
        <w:bottom w:val="none" w:sz="0" w:space="0" w:color="auto"/>
        <w:right w:val="none" w:sz="0" w:space="0" w:color="auto"/>
      </w:divBdr>
    </w:div>
    <w:div w:id="588735415">
      <w:bodyDiv w:val="1"/>
      <w:marLeft w:val="0"/>
      <w:marRight w:val="0"/>
      <w:marTop w:val="0"/>
      <w:marBottom w:val="0"/>
      <w:divBdr>
        <w:top w:val="none" w:sz="0" w:space="0" w:color="auto"/>
        <w:left w:val="none" w:sz="0" w:space="0" w:color="auto"/>
        <w:bottom w:val="none" w:sz="0" w:space="0" w:color="auto"/>
        <w:right w:val="none" w:sz="0" w:space="0" w:color="auto"/>
      </w:divBdr>
    </w:div>
    <w:div w:id="592131163">
      <w:bodyDiv w:val="1"/>
      <w:marLeft w:val="0"/>
      <w:marRight w:val="0"/>
      <w:marTop w:val="0"/>
      <w:marBottom w:val="0"/>
      <w:divBdr>
        <w:top w:val="none" w:sz="0" w:space="0" w:color="auto"/>
        <w:left w:val="none" w:sz="0" w:space="0" w:color="auto"/>
        <w:bottom w:val="none" w:sz="0" w:space="0" w:color="auto"/>
        <w:right w:val="none" w:sz="0" w:space="0" w:color="auto"/>
      </w:divBdr>
    </w:div>
    <w:div w:id="619725587">
      <w:bodyDiv w:val="1"/>
      <w:marLeft w:val="0"/>
      <w:marRight w:val="0"/>
      <w:marTop w:val="0"/>
      <w:marBottom w:val="0"/>
      <w:divBdr>
        <w:top w:val="none" w:sz="0" w:space="0" w:color="auto"/>
        <w:left w:val="none" w:sz="0" w:space="0" w:color="auto"/>
        <w:bottom w:val="none" w:sz="0" w:space="0" w:color="auto"/>
        <w:right w:val="none" w:sz="0" w:space="0" w:color="auto"/>
      </w:divBdr>
    </w:div>
    <w:div w:id="657078949">
      <w:bodyDiv w:val="1"/>
      <w:marLeft w:val="0"/>
      <w:marRight w:val="0"/>
      <w:marTop w:val="0"/>
      <w:marBottom w:val="0"/>
      <w:divBdr>
        <w:top w:val="none" w:sz="0" w:space="0" w:color="auto"/>
        <w:left w:val="none" w:sz="0" w:space="0" w:color="auto"/>
        <w:bottom w:val="none" w:sz="0" w:space="0" w:color="auto"/>
        <w:right w:val="none" w:sz="0" w:space="0" w:color="auto"/>
      </w:divBdr>
    </w:div>
    <w:div w:id="679822137">
      <w:bodyDiv w:val="1"/>
      <w:marLeft w:val="0"/>
      <w:marRight w:val="0"/>
      <w:marTop w:val="0"/>
      <w:marBottom w:val="0"/>
      <w:divBdr>
        <w:top w:val="none" w:sz="0" w:space="0" w:color="auto"/>
        <w:left w:val="none" w:sz="0" w:space="0" w:color="auto"/>
        <w:bottom w:val="none" w:sz="0" w:space="0" w:color="auto"/>
        <w:right w:val="none" w:sz="0" w:space="0" w:color="auto"/>
      </w:divBdr>
    </w:div>
    <w:div w:id="692658367">
      <w:bodyDiv w:val="1"/>
      <w:marLeft w:val="0"/>
      <w:marRight w:val="0"/>
      <w:marTop w:val="0"/>
      <w:marBottom w:val="0"/>
      <w:divBdr>
        <w:top w:val="none" w:sz="0" w:space="0" w:color="auto"/>
        <w:left w:val="none" w:sz="0" w:space="0" w:color="auto"/>
        <w:bottom w:val="none" w:sz="0" w:space="0" w:color="auto"/>
        <w:right w:val="none" w:sz="0" w:space="0" w:color="auto"/>
      </w:divBdr>
    </w:div>
    <w:div w:id="702635451">
      <w:bodyDiv w:val="1"/>
      <w:marLeft w:val="0"/>
      <w:marRight w:val="0"/>
      <w:marTop w:val="0"/>
      <w:marBottom w:val="0"/>
      <w:divBdr>
        <w:top w:val="none" w:sz="0" w:space="0" w:color="auto"/>
        <w:left w:val="none" w:sz="0" w:space="0" w:color="auto"/>
        <w:bottom w:val="none" w:sz="0" w:space="0" w:color="auto"/>
        <w:right w:val="none" w:sz="0" w:space="0" w:color="auto"/>
      </w:divBdr>
    </w:div>
    <w:div w:id="710228151">
      <w:bodyDiv w:val="1"/>
      <w:marLeft w:val="0"/>
      <w:marRight w:val="0"/>
      <w:marTop w:val="0"/>
      <w:marBottom w:val="0"/>
      <w:divBdr>
        <w:top w:val="none" w:sz="0" w:space="0" w:color="auto"/>
        <w:left w:val="none" w:sz="0" w:space="0" w:color="auto"/>
        <w:bottom w:val="none" w:sz="0" w:space="0" w:color="auto"/>
        <w:right w:val="none" w:sz="0" w:space="0" w:color="auto"/>
      </w:divBdr>
    </w:div>
    <w:div w:id="710570246">
      <w:bodyDiv w:val="1"/>
      <w:marLeft w:val="0"/>
      <w:marRight w:val="0"/>
      <w:marTop w:val="0"/>
      <w:marBottom w:val="0"/>
      <w:divBdr>
        <w:top w:val="none" w:sz="0" w:space="0" w:color="auto"/>
        <w:left w:val="none" w:sz="0" w:space="0" w:color="auto"/>
        <w:bottom w:val="none" w:sz="0" w:space="0" w:color="auto"/>
        <w:right w:val="none" w:sz="0" w:space="0" w:color="auto"/>
      </w:divBdr>
    </w:div>
    <w:div w:id="726613787">
      <w:bodyDiv w:val="1"/>
      <w:marLeft w:val="0"/>
      <w:marRight w:val="0"/>
      <w:marTop w:val="0"/>
      <w:marBottom w:val="0"/>
      <w:divBdr>
        <w:top w:val="none" w:sz="0" w:space="0" w:color="auto"/>
        <w:left w:val="none" w:sz="0" w:space="0" w:color="auto"/>
        <w:bottom w:val="none" w:sz="0" w:space="0" w:color="auto"/>
        <w:right w:val="none" w:sz="0" w:space="0" w:color="auto"/>
      </w:divBdr>
    </w:div>
    <w:div w:id="727150980">
      <w:bodyDiv w:val="1"/>
      <w:marLeft w:val="0"/>
      <w:marRight w:val="0"/>
      <w:marTop w:val="0"/>
      <w:marBottom w:val="0"/>
      <w:divBdr>
        <w:top w:val="none" w:sz="0" w:space="0" w:color="auto"/>
        <w:left w:val="none" w:sz="0" w:space="0" w:color="auto"/>
        <w:bottom w:val="none" w:sz="0" w:space="0" w:color="auto"/>
        <w:right w:val="none" w:sz="0" w:space="0" w:color="auto"/>
      </w:divBdr>
    </w:div>
    <w:div w:id="770929040">
      <w:bodyDiv w:val="1"/>
      <w:marLeft w:val="0"/>
      <w:marRight w:val="0"/>
      <w:marTop w:val="0"/>
      <w:marBottom w:val="0"/>
      <w:divBdr>
        <w:top w:val="none" w:sz="0" w:space="0" w:color="auto"/>
        <w:left w:val="none" w:sz="0" w:space="0" w:color="auto"/>
        <w:bottom w:val="none" w:sz="0" w:space="0" w:color="auto"/>
        <w:right w:val="none" w:sz="0" w:space="0" w:color="auto"/>
      </w:divBdr>
    </w:div>
    <w:div w:id="808788385">
      <w:bodyDiv w:val="1"/>
      <w:marLeft w:val="0"/>
      <w:marRight w:val="0"/>
      <w:marTop w:val="0"/>
      <w:marBottom w:val="0"/>
      <w:divBdr>
        <w:top w:val="none" w:sz="0" w:space="0" w:color="auto"/>
        <w:left w:val="none" w:sz="0" w:space="0" w:color="auto"/>
        <w:bottom w:val="none" w:sz="0" w:space="0" w:color="auto"/>
        <w:right w:val="none" w:sz="0" w:space="0" w:color="auto"/>
      </w:divBdr>
    </w:div>
    <w:div w:id="812062575">
      <w:bodyDiv w:val="1"/>
      <w:marLeft w:val="0"/>
      <w:marRight w:val="0"/>
      <w:marTop w:val="0"/>
      <w:marBottom w:val="0"/>
      <w:divBdr>
        <w:top w:val="none" w:sz="0" w:space="0" w:color="auto"/>
        <w:left w:val="none" w:sz="0" w:space="0" w:color="auto"/>
        <w:bottom w:val="none" w:sz="0" w:space="0" w:color="auto"/>
        <w:right w:val="none" w:sz="0" w:space="0" w:color="auto"/>
      </w:divBdr>
    </w:div>
    <w:div w:id="900674831">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21523876">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30704317">
      <w:bodyDiv w:val="1"/>
      <w:marLeft w:val="0"/>
      <w:marRight w:val="0"/>
      <w:marTop w:val="0"/>
      <w:marBottom w:val="0"/>
      <w:divBdr>
        <w:top w:val="none" w:sz="0" w:space="0" w:color="auto"/>
        <w:left w:val="none" w:sz="0" w:space="0" w:color="auto"/>
        <w:bottom w:val="none" w:sz="0" w:space="0" w:color="auto"/>
        <w:right w:val="none" w:sz="0" w:space="0" w:color="auto"/>
      </w:divBdr>
    </w:div>
    <w:div w:id="949823131">
      <w:bodyDiv w:val="1"/>
      <w:marLeft w:val="0"/>
      <w:marRight w:val="0"/>
      <w:marTop w:val="0"/>
      <w:marBottom w:val="0"/>
      <w:divBdr>
        <w:top w:val="none" w:sz="0" w:space="0" w:color="auto"/>
        <w:left w:val="none" w:sz="0" w:space="0" w:color="auto"/>
        <w:bottom w:val="none" w:sz="0" w:space="0" w:color="auto"/>
        <w:right w:val="none" w:sz="0" w:space="0" w:color="auto"/>
      </w:divBdr>
    </w:div>
    <w:div w:id="956983792">
      <w:bodyDiv w:val="1"/>
      <w:marLeft w:val="0"/>
      <w:marRight w:val="0"/>
      <w:marTop w:val="0"/>
      <w:marBottom w:val="0"/>
      <w:divBdr>
        <w:top w:val="none" w:sz="0" w:space="0" w:color="auto"/>
        <w:left w:val="none" w:sz="0" w:space="0" w:color="auto"/>
        <w:bottom w:val="none" w:sz="0" w:space="0" w:color="auto"/>
        <w:right w:val="none" w:sz="0" w:space="0" w:color="auto"/>
      </w:divBdr>
    </w:div>
    <w:div w:id="963460019">
      <w:bodyDiv w:val="1"/>
      <w:marLeft w:val="0"/>
      <w:marRight w:val="0"/>
      <w:marTop w:val="0"/>
      <w:marBottom w:val="0"/>
      <w:divBdr>
        <w:top w:val="none" w:sz="0" w:space="0" w:color="auto"/>
        <w:left w:val="none" w:sz="0" w:space="0" w:color="auto"/>
        <w:bottom w:val="none" w:sz="0" w:space="0" w:color="auto"/>
        <w:right w:val="none" w:sz="0" w:space="0" w:color="auto"/>
      </w:divBdr>
    </w:div>
    <w:div w:id="976183624">
      <w:bodyDiv w:val="1"/>
      <w:marLeft w:val="0"/>
      <w:marRight w:val="0"/>
      <w:marTop w:val="0"/>
      <w:marBottom w:val="0"/>
      <w:divBdr>
        <w:top w:val="none" w:sz="0" w:space="0" w:color="auto"/>
        <w:left w:val="none" w:sz="0" w:space="0" w:color="auto"/>
        <w:bottom w:val="none" w:sz="0" w:space="0" w:color="auto"/>
        <w:right w:val="none" w:sz="0" w:space="0" w:color="auto"/>
      </w:divBdr>
    </w:div>
    <w:div w:id="986666468">
      <w:bodyDiv w:val="1"/>
      <w:marLeft w:val="0"/>
      <w:marRight w:val="0"/>
      <w:marTop w:val="0"/>
      <w:marBottom w:val="0"/>
      <w:divBdr>
        <w:top w:val="none" w:sz="0" w:space="0" w:color="auto"/>
        <w:left w:val="none" w:sz="0" w:space="0" w:color="auto"/>
        <w:bottom w:val="none" w:sz="0" w:space="0" w:color="auto"/>
        <w:right w:val="none" w:sz="0" w:space="0" w:color="auto"/>
      </w:divBdr>
    </w:div>
    <w:div w:id="994333802">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19745691">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24554824">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62480045">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124034485">
      <w:bodyDiv w:val="1"/>
      <w:marLeft w:val="0"/>
      <w:marRight w:val="0"/>
      <w:marTop w:val="0"/>
      <w:marBottom w:val="0"/>
      <w:divBdr>
        <w:top w:val="none" w:sz="0" w:space="0" w:color="auto"/>
        <w:left w:val="none" w:sz="0" w:space="0" w:color="auto"/>
        <w:bottom w:val="none" w:sz="0" w:space="0" w:color="auto"/>
        <w:right w:val="none" w:sz="0" w:space="0" w:color="auto"/>
      </w:divBdr>
    </w:div>
    <w:div w:id="1142039001">
      <w:bodyDiv w:val="1"/>
      <w:marLeft w:val="0"/>
      <w:marRight w:val="0"/>
      <w:marTop w:val="0"/>
      <w:marBottom w:val="0"/>
      <w:divBdr>
        <w:top w:val="none" w:sz="0" w:space="0" w:color="auto"/>
        <w:left w:val="none" w:sz="0" w:space="0" w:color="auto"/>
        <w:bottom w:val="none" w:sz="0" w:space="0" w:color="auto"/>
        <w:right w:val="none" w:sz="0" w:space="0" w:color="auto"/>
      </w:divBdr>
    </w:div>
    <w:div w:id="1148014648">
      <w:bodyDiv w:val="1"/>
      <w:marLeft w:val="0"/>
      <w:marRight w:val="0"/>
      <w:marTop w:val="0"/>
      <w:marBottom w:val="0"/>
      <w:divBdr>
        <w:top w:val="none" w:sz="0" w:space="0" w:color="auto"/>
        <w:left w:val="none" w:sz="0" w:space="0" w:color="auto"/>
        <w:bottom w:val="none" w:sz="0" w:space="0" w:color="auto"/>
        <w:right w:val="none" w:sz="0" w:space="0" w:color="auto"/>
      </w:divBdr>
    </w:div>
    <w:div w:id="1162699284">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44997177">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275213742">
      <w:bodyDiv w:val="1"/>
      <w:marLeft w:val="0"/>
      <w:marRight w:val="0"/>
      <w:marTop w:val="0"/>
      <w:marBottom w:val="0"/>
      <w:divBdr>
        <w:top w:val="none" w:sz="0" w:space="0" w:color="auto"/>
        <w:left w:val="none" w:sz="0" w:space="0" w:color="auto"/>
        <w:bottom w:val="none" w:sz="0" w:space="0" w:color="auto"/>
        <w:right w:val="none" w:sz="0" w:space="0" w:color="auto"/>
      </w:divBdr>
    </w:div>
    <w:div w:id="1312832318">
      <w:bodyDiv w:val="1"/>
      <w:marLeft w:val="0"/>
      <w:marRight w:val="0"/>
      <w:marTop w:val="0"/>
      <w:marBottom w:val="0"/>
      <w:divBdr>
        <w:top w:val="none" w:sz="0" w:space="0" w:color="auto"/>
        <w:left w:val="none" w:sz="0" w:space="0" w:color="auto"/>
        <w:bottom w:val="none" w:sz="0" w:space="0" w:color="auto"/>
        <w:right w:val="none" w:sz="0" w:space="0" w:color="auto"/>
      </w:divBdr>
    </w:div>
    <w:div w:id="1322541617">
      <w:bodyDiv w:val="1"/>
      <w:marLeft w:val="0"/>
      <w:marRight w:val="0"/>
      <w:marTop w:val="0"/>
      <w:marBottom w:val="0"/>
      <w:divBdr>
        <w:top w:val="none" w:sz="0" w:space="0" w:color="auto"/>
        <w:left w:val="none" w:sz="0" w:space="0" w:color="auto"/>
        <w:bottom w:val="none" w:sz="0" w:space="0" w:color="auto"/>
        <w:right w:val="none" w:sz="0" w:space="0" w:color="auto"/>
      </w:divBdr>
    </w:div>
    <w:div w:id="1325624529">
      <w:bodyDiv w:val="1"/>
      <w:marLeft w:val="0"/>
      <w:marRight w:val="0"/>
      <w:marTop w:val="0"/>
      <w:marBottom w:val="0"/>
      <w:divBdr>
        <w:top w:val="none" w:sz="0" w:space="0" w:color="auto"/>
        <w:left w:val="none" w:sz="0" w:space="0" w:color="auto"/>
        <w:bottom w:val="none" w:sz="0" w:space="0" w:color="auto"/>
        <w:right w:val="none" w:sz="0" w:space="0" w:color="auto"/>
      </w:divBdr>
    </w:div>
    <w:div w:id="1346516997">
      <w:bodyDiv w:val="1"/>
      <w:marLeft w:val="0"/>
      <w:marRight w:val="0"/>
      <w:marTop w:val="0"/>
      <w:marBottom w:val="0"/>
      <w:divBdr>
        <w:top w:val="none" w:sz="0" w:space="0" w:color="auto"/>
        <w:left w:val="none" w:sz="0" w:space="0" w:color="auto"/>
        <w:bottom w:val="none" w:sz="0" w:space="0" w:color="auto"/>
        <w:right w:val="none" w:sz="0" w:space="0" w:color="auto"/>
      </w:divBdr>
    </w:div>
    <w:div w:id="1363676628">
      <w:bodyDiv w:val="1"/>
      <w:marLeft w:val="0"/>
      <w:marRight w:val="0"/>
      <w:marTop w:val="0"/>
      <w:marBottom w:val="0"/>
      <w:divBdr>
        <w:top w:val="none" w:sz="0" w:space="0" w:color="auto"/>
        <w:left w:val="none" w:sz="0" w:space="0" w:color="auto"/>
        <w:bottom w:val="none" w:sz="0" w:space="0" w:color="auto"/>
        <w:right w:val="none" w:sz="0" w:space="0" w:color="auto"/>
      </w:divBdr>
    </w:div>
    <w:div w:id="1385180921">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449470340">
      <w:bodyDiv w:val="1"/>
      <w:marLeft w:val="0"/>
      <w:marRight w:val="0"/>
      <w:marTop w:val="0"/>
      <w:marBottom w:val="0"/>
      <w:divBdr>
        <w:top w:val="none" w:sz="0" w:space="0" w:color="auto"/>
        <w:left w:val="none" w:sz="0" w:space="0" w:color="auto"/>
        <w:bottom w:val="none" w:sz="0" w:space="0" w:color="auto"/>
        <w:right w:val="none" w:sz="0" w:space="0" w:color="auto"/>
      </w:divBdr>
    </w:div>
    <w:div w:id="1467964070">
      <w:bodyDiv w:val="1"/>
      <w:marLeft w:val="0"/>
      <w:marRight w:val="0"/>
      <w:marTop w:val="0"/>
      <w:marBottom w:val="0"/>
      <w:divBdr>
        <w:top w:val="none" w:sz="0" w:space="0" w:color="auto"/>
        <w:left w:val="none" w:sz="0" w:space="0" w:color="auto"/>
        <w:bottom w:val="none" w:sz="0" w:space="0" w:color="auto"/>
        <w:right w:val="none" w:sz="0" w:space="0" w:color="auto"/>
      </w:divBdr>
    </w:div>
    <w:div w:id="1494754376">
      <w:bodyDiv w:val="1"/>
      <w:marLeft w:val="0"/>
      <w:marRight w:val="0"/>
      <w:marTop w:val="0"/>
      <w:marBottom w:val="0"/>
      <w:divBdr>
        <w:top w:val="none" w:sz="0" w:space="0" w:color="auto"/>
        <w:left w:val="none" w:sz="0" w:space="0" w:color="auto"/>
        <w:bottom w:val="none" w:sz="0" w:space="0" w:color="auto"/>
        <w:right w:val="none" w:sz="0" w:space="0" w:color="auto"/>
      </w:divBdr>
    </w:div>
    <w:div w:id="1506092248">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536430803">
      <w:bodyDiv w:val="1"/>
      <w:marLeft w:val="0"/>
      <w:marRight w:val="0"/>
      <w:marTop w:val="0"/>
      <w:marBottom w:val="0"/>
      <w:divBdr>
        <w:top w:val="none" w:sz="0" w:space="0" w:color="auto"/>
        <w:left w:val="none" w:sz="0" w:space="0" w:color="auto"/>
        <w:bottom w:val="none" w:sz="0" w:space="0" w:color="auto"/>
        <w:right w:val="none" w:sz="0" w:space="0" w:color="auto"/>
      </w:divBdr>
    </w:div>
    <w:div w:id="1538199017">
      <w:bodyDiv w:val="1"/>
      <w:marLeft w:val="0"/>
      <w:marRight w:val="0"/>
      <w:marTop w:val="0"/>
      <w:marBottom w:val="0"/>
      <w:divBdr>
        <w:top w:val="none" w:sz="0" w:space="0" w:color="auto"/>
        <w:left w:val="none" w:sz="0" w:space="0" w:color="auto"/>
        <w:bottom w:val="none" w:sz="0" w:space="0" w:color="auto"/>
        <w:right w:val="none" w:sz="0" w:space="0" w:color="auto"/>
      </w:divBdr>
    </w:div>
    <w:div w:id="1562475200">
      <w:bodyDiv w:val="1"/>
      <w:marLeft w:val="0"/>
      <w:marRight w:val="0"/>
      <w:marTop w:val="0"/>
      <w:marBottom w:val="0"/>
      <w:divBdr>
        <w:top w:val="none" w:sz="0" w:space="0" w:color="auto"/>
        <w:left w:val="none" w:sz="0" w:space="0" w:color="auto"/>
        <w:bottom w:val="none" w:sz="0" w:space="0" w:color="auto"/>
        <w:right w:val="none" w:sz="0" w:space="0" w:color="auto"/>
      </w:divBdr>
    </w:div>
    <w:div w:id="1564366822">
      <w:bodyDiv w:val="1"/>
      <w:marLeft w:val="0"/>
      <w:marRight w:val="0"/>
      <w:marTop w:val="0"/>
      <w:marBottom w:val="0"/>
      <w:divBdr>
        <w:top w:val="none" w:sz="0" w:space="0" w:color="auto"/>
        <w:left w:val="none" w:sz="0" w:space="0" w:color="auto"/>
        <w:bottom w:val="none" w:sz="0" w:space="0" w:color="auto"/>
        <w:right w:val="none" w:sz="0" w:space="0" w:color="auto"/>
      </w:divBdr>
    </w:div>
    <w:div w:id="1571161462">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652979617">
      <w:bodyDiv w:val="1"/>
      <w:marLeft w:val="0"/>
      <w:marRight w:val="0"/>
      <w:marTop w:val="0"/>
      <w:marBottom w:val="0"/>
      <w:divBdr>
        <w:top w:val="none" w:sz="0" w:space="0" w:color="auto"/>
        <w:left w:val="none" w:sz="0" w:space="0" w:color="auto"/>
        <w:bottom w:val="none" w:sz="0" w:space="0" w:color="auto"/>
        <w:right w:val="none" w:sz="0" w:space="0" w:color="auto"/>
      </w:divBdr>
    </w:div>
    <w:div w:id="1657487821">
      <w:bodyDiv w:val="1"/>
      <w:marLeft w:val="0"/>
      <w:marRight w:val="0"/>
      <w:marTop w:val="0"/>
      <w:marBottom w:val="0"/>
      <w:divBdr>
        <w:top w:val="none" w:sz="0" w:space="0" w:color="auto"/>
        <w:left w:val="none" w:sz="0" w:space="0" w:color="auto"/>
        <w:bottom w:val="none" w:sz="0" w:space="0" w:color="auto"/>
        <w:right w:val="none" w:sz="0" w:space="0" w:color="auto"/>
      </w:divBdr>
    </w:div>
    <w:div w:id="1682661192">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24018440">
      <w:bodyDiv w:val="1"/>
      <w:marLeft w:val="0"/>
      <w:marRight w:val="0"/>
      <w:marTop w:val="0"/>
      <w:marBottom w:val="0"/>
      <w:divBdr>
        <w:top w:val="none" w:sz="0" w:space="0" w:color="auto"/>
        <w:left w:val="none" w:sz="0" w:space="0" w:color="auto"/>
        <w:bottom w:val="none" w:sz="0" w:space="0" w:color="auto"/>
        <w:right w:val="none" w:sz="0" w:space="0" w:color="auto"/>
      </w:divBdr>
    </w:div>
    <w:div w:id="1724715559">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63836524">
      <w:bodyDiv w:val="1"/>
      <w:marLeft w:val="0"/>
      <w:marRight w:val="0"/>
      <w:marTop w:val="0"/>
      <w:marBottom w:val="0"/>
      <w:divBdr>
        <w:top w:val="none" w:sz="0" w:space="0" w:color="auto"/>
        <w:left w:val="none" w:sz="0" w:space="0" w:color="auto"/>
        <w:bottom w:val="none" w:sz="0" w:space="0" w:color="auto"/>
        <w:right w:val="none" w:sz="0" w:space="0" w:color="auto"/>
      </w:divBdr>
    </w:div>
    <w:div w:id="1764300834">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03616747">
      <w:bodyDiv w:val="1"/>
      <w:marLeft w:val="0"/>
      <w:marRight w:val="0"/>
      <w:marTop w:val="0"/>
      <w:marBottom w:val="0"/>
      <w:divBdr>
        <w:top w:val="none" w:sz="0" w:space="0" w:color="auto"/>
        <w:left w:val="none" w:sz="0" w:space="0" w:color="auto"/>
        <w:bottom w:val="none" w:sz="0" w:space="0" w:color="auto"/>
        <w:right w:val="none" w:sz="0" w:space="0" w:color="auto"/>
      </w:divBdr>
    </w:div>
    <w:div w:id="1805610915">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50900106">
      <w:bodyDiv w:val="1"/>
      <w:marLeft w:val="0"/>
      <w:marRight w:val="0"/>
      <w:marTop w:val="0"/>
      <w:marBottom w:val="0"/>
      <w:divBdr>
        <w:top w:val="none" w:sz="0" w:space="0" w:color="auto"/>
        <w:left w:val="none" w:sz="0" w:space="0" w:color="auto"/>
        <w:bottom w:val="none" w:sz="0" w:space="0" w:color="auto"/>
        <w:right w:val="none" w:sz="0" w:space="0" w:color="auto"/>
      </w:divBdr>
    </w:div>
    <w:div w:id="1851673519">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9126724">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04900457">
      <w:bodyDiv w:val="1"/>
      <w:marLeft w:val="0"/>
      <w:marRight w:val="0"/>
      <w:marTop w:val="0"/>
      <w:marBottom w:val="0"/>
      <w:divBdr>
        <w:top w:val="none" w:sz="0" w:space="0" w:color="auto"/>
        <w:left w:val="none" w:sz="0" w:space="0" w:color="auto"/>
        <w:bottom w:val="none" w:sz="0" w:space="0" w:color="auto"/>
        <w:right w:val="none" w:sz="0" w:space="0" w:color="auto"/>
      </w:divBdr>
    </w:div>
    <w:div w:id="1919366296">
      <w:bodyDiv w:val="1"/>
      <w:marLeft w:val="0"/>
      <w:marRight w:val="0"/>
      <w:marTop w:val="0"/>
      <w:marBottom w:val="0"/>
      <w:divBdr>
        <w:top w:val="none" w:sz="0" w:space="0" w:color="auto"/>
        <w:left w:val="none" w:sz="0" w:space="0" w:color="auto"/>
        <w:bottom w:val="none" w:sz="0" w:space="0" w:color="auto"/>
        <w:right w:val="none" w:sz="0" w:space="0" w:color="auto"/>
      </w:divBdr>
    </w:div>
    <w:div w:id="1923564402">
      <w:bodyDiv w:val="1"/>
      <w:marLeft w:val="0"/>
      <w:marRight w:val="0"/>
      <w:marTop w:val="0"/>
      <w:marBottom w:val="0"/>
      <w:divBdr>
        <w:top w:val="none" w:sz="0" w:space="0" w:color="auto"/>
        <w:left w:val="none" w:sz="0" w:space="0" w:color="auto"/>
        <w:bottom w:val="none" w:sz="0" w:space="0" w:color="auto"/>
        <w:right w:val="none" w:sz="0" w:space="0" w:color="auto"/>
      </w:divBdr>
    </w:div>
    <w:div w:id="1924408666">
      <w:bodyDiv w:val="1"/>
      <w:marLeft w:val="0"/>
      <w:marRight w:val="0"/>
      <w:marTop w:val="0"/>
      <w:marBottom w:val="0"/>
      <w:divBdr>
        <w:top w:val="none" w:sz="0" w:space="0" w:color="auto"/>
        <w:left w:val="none" w:sz="0" w:space="0" w:color="auto"/>
        <w:bottom w:val="none" w:sz="0" w:space="0" w:color="auto"/>
        <w:right w:val="none" w:sz="0" w:space="0" w:color="auto"/>
      </w:divBdr>
    </w:div>
    <w:div w:id="1926379063">
      <w:bodyDiv w:val="1"/>
      <w:marLeft w:val="0"/>
      <w:marRight w:val="0"/>
      <w:marTop w:val="0"/>
      <w:marBottom w:val="0"/>
      <w:divBdr>
        <w:top w:val="none" w:sz="0" w:space="0" w:color="auto"/>
        <w:left w:val="none" w:sz="0" w:space="0" w:color="auto"/>
        <w:bottom w:val="none" w:sz="0" w:space="0" w:color="auto"/>
        <w:right w:val="none" w:sz="0" w:space="0" w:color="auto"/>
      </w:divBdr>
    </w:div>
    <w:div w:id="1937250660">
      <w:bodyDiv w:val="1"/>
      <w:marLeft w:val="0"/>
      <w:marRight w:val="0"/>
      <w:marTop w:val="0"/>
      <w:marBottom w:val="0"/>
      <w:divBdr>
        <w:top w:val="none" w:sz="0" w:space="0" w:color="auto"/>
        <w:left w:val="none" w:sz="0" w:space="0" w:color="auto"/>
        <w:bottom w:val="none" w:sz="0" w:space="0" w:color="auto"/>
        <w:right w:val="none" w:sz="0" w:space="0" w:color="auto"/>
      </w:divBdr>
    </w:div>
    <w:div w:id="194079056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 w:id="1962497464">
      <w:bodyDiv w:val="1"/>
      <w:marLeft w:val="0"/>
      <w:marRight w:val="0"/>
      <w:marTop w:val="0"/>
      <w:marBottom w:val="0"/>
      <w:divBdr>
        <w:top w:val="none" w:sz="0" w:space="0" w:color="auto"/>
        <w:left w:val="none" w:sz="0" w:space="0" w:color="auto"/>
        <w:bottom w:val="none" w:sz="0" w:space="0" w:color="auto"/>
        <w:right w:val="none" w:sz="0" w:space="0" w:color="auto"/>
      </w:divBdr>
    </w:div>
    <w:div w:id="1985625302">
      <w:bodyDiv w:val="1"/>
      <w:marLeft w:val="0"/>
      <w:marRight w:val="0"/>
      <w:marTop w:val="0"/>
      <w:marBottom w:val="0"/>
      <w:divBdr>
        <w:top w:val="none" w:sz="0" w:space="0" w:color="auto"/>
        <w:left w:val="none" w:sz="0" w:space="0" w:color="auto"/>
        <w:bottom w:val="none" w:sz="0" w:space="0" w:color="auto"/>
        <w:right w:val="none" w:sz="0" w:space="0" w:color="auto"/>
      </w:divBdr>
    </w:div>
    <w:div w:id="2005476973">
      <w:bodyDiv w:val="1"/>
      <w:marLeft w:val="0"/>
      <w:marRight w:val="0"/>
      <w:marTop w:val="0"/>
      <w:marBottom w:val="0"/>
      <w:divBdr>
        <w:top w:val="none" w:sz="0" w:space="0" w:color="auto"/>
        <w:left w:val="none" w:sz="0" w:space="0" w:color="auto"/>
        <w:bottom w:val="none" w:sz="0" w:space="0" w:color="auto"/>
        <w:right w:val="none" w:sz="0" w:space="0" w:color="auto"/>
      </w:divBdr>
    </w:div>
    <w:div w:id="2029210620">
      <w:bodyDiv w:val="1"/>
      <w:marLeft w:val="0"/>
      <w:marRight w:val="0"/>
      <w:marTop w:val="0"/>
      <w:marBottom w:val="0"/>
      <w:divBdr>
        <w:top w:val="none" w:sz="0" w:space="0" w:color="auto"/>
        <w:left w:val="none" w:sz="0" w:space="0" w:color="auto"/>
        <w:bottom w:val="none" w:sz="0" w:space="0" w:color="auto"/>
        <w:right w:val="none" w:sz="0" w:space="0" w:color="auto"/>
      </w:divBdr>
    </w:div>
    <w:div w:id="2041660287">
      <w:bodyDiv w:val="1"/>
      <w:marLeft w:val="0"/>
      <w:marRight w:val="0"/>
      <w:marTop w:val="0"/>
      <w:marBottom w:val="0"/>
      <w:divBdr>
        <w:top w:val="none" w:sz="0" w:space="0" w:color="auto"/>
        <w:left w:val="none" w:sz="0" w:space="0" w:color="auto"/>
        <w:bottom w:val="none" w:sz="0" w:space="0" w:color="auto"/>
        <w:right w:val="none" w:sz="0" w:space="0" w:color="auto"/>
      </w:divBdr>
    </w:div>
    <w:div w:id="2109041320">
      <w:bodyDiv w:val="1"/>
      <w:marLeft w:val="0"/>
      <w:marRight w:val="0"/>
      <w:marTop w:val="0"/>
      <w:marBottom w:val="0"/>
      <w:divBdr>
        <w:top w:val="none" w:sz="0" w:space="0" w:color="auto"/>
        <w:left w:val="none" w:sz="0" w:space="0" w:color="auto"/>
        <w:bottom w:val="none" w:sz="0" w:space="0" w:color="auto"/>
        <w:right w:val="none" w:sz="0" w:space="0" w:color="auto"/>
      </w:divBdr>
    </w:div>
    <w:div w:id="2109277391">
      <w:bodyDiv w:val="1"/>
      <w:marLeft w:val="0"/>
      <w:marRight w:val="0"/>
      <w:marTop w:val="0"/>
      <w:marBottom w:val="0"/>
      <w:divBdr>
        <w:top w:val="none" w:sz="0" w:space="0" w:color="auto"/>
        <w:left w:val="none" w:sz="0" w:space="0" w:color="auto"/>
        <w:bottom w:val="none" w:sz="0" w:space="0" w:color="auto"/>
        <w:right w:val="none" w:sz="0" w:space="0" w:color="auto"/>
      </w:divBdr>
    </w:div>
    <w:div w:id="2121756069">
      <w:bodyDiv w:val="1"/>
      <w:marLeft w:val="0"/>
      <w:marRight w:val="0"/>
      <w:marTop w:val="0"/>
      <w:marBottom w:val="0"/>
      <w:divBdr>
        <w:top w:val="none" w:sz="0" w:space="0" w:color="auto"/>
        <w:left w:val="none" w:sz="0" w:space="0" w:color="auto"/>
        <w:bottom w:val="none" w:sz="0" w:space="0" w:color="auto"/>
        <w:right w:val="none" w:sz="0" w:space="0" w:color="auto"/>
      </w:divBdr>
    </w:div>
    <w:div w:id="21372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FAC8A-D724-406D-8396-EBCB9489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21</Pages>
  <Words>4856</Words>
  <Characters>26226</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ISRS 4400</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subject/>
  <dc:creator>Your User Name</dc:creator>
  <cp:keywords/>
  <cp:lastModifiedBy>Konstantinos A. Andreou</cp:lastModifiedBy>
  <cp:revision>29</cp:revision>
  <cp:lastPrinted>2019-08-29T08:17:00Z</cp:lastPrinted>
  <dcterms:created xsi:type="dcterms:W3CDTF">2019-08-28T15:38:00Z</dcterms:created>
  <dcterms:modified xsi:type="dcterms:W3CDTF">2022-08-17T09:46:00Z</dcterms:modified>
</cp:coreProperties>
</file>